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ICO" ContentType="image/.ic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2f9a12ed56c04698" Type="http://schemas.microsoft.com/office/2007/relationships/ui/extensibility" Target="customUI/customUI14.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82EE6A" w14:textId="77777777" w:rsidR="001309A5" w:rsidRDefault="001309A5" w:rsidP="001309A5">
      <w:pPr>
        <w:pStyle w:val="papertitle"/>
      </w:pPr>
      <w:r>
        <w:t>Investigating Bond Characteristics and Structural Efficiency of High-Density Polyurethane Foam Infill in Aluminum and Light Gauge Steel Tubes</w:t>
      </w:r>
    </w:p>
    <w:p w14:paraId="1700FCDA" w14:textId="065AF86F" w:rsidR="001309A5" w:rsidRPr="00212B91" w:rsidRDefault="001309A5" w:rsidP="001309A5">
      <w:pPr>
        <w:pStyle w:val="author"/>
      </w:pPr>
      <w:r w:rsidRPr="00DB3303">
        <w:t>Padmaja</w:t>
      </w:r>
      <w:r w:rsidR="003C35E2">
        <w:t xml:space="preserve"> Gokaraju</w:t>
      </w:r>
      <w:r>
        <w:rPr>
          <w:vertAlign w:val="superscript"/>
        </w:rPr>
        <w:t>a*</w:t>
      </w:r>
      <w:r w:rsidRPr="00DB3303">
        <w:t>, V.V.V.S. Murty</w:t>
      </w:r>
      <w:r>
        <w:rPr>
          <w:vertAlign w:val="superscript"/>
        </w:rPr>
        <w:t>b</w:t>
      </w:r>
      <w:r w:rsidRPr="00DB3303">
        <w:t>, N.V. Ramana Rao</w:t>
      </w:r>
      <w:r>
        <w:rPr>
          <w:vertAlign w:val="superscript"/>
        </w:rPr>
        <w:t>c</w:t>
      </w:r>
    </w:p>
    <w:p w14:paraId="1BF0EE59" w14:textId="6A5F904C" w:rsidR="001309A5" w:rsidRPr="00DB3303" w:rsidRDefault="001309A5" w:rsidP="001309A5">
      <w:pPr>
        <w:pStyle w:val="address"/>
      </w:pPr>
      <w:r>
        <w:rPr>
          <w:vertAlign w:val="superscript"/>
        </w:rPr>
        <w:t>a*</w:t>
      </w:r>
      <w:r w:rsidRPr="00DB3303">
        <w:t>Vice President</w:t>
      </w:r>
      <w:r>
        <w:t xml:space="preserve"> -</w:t>
      </w:r>
      <w:r w:rsidRPr="00F2330D">
        <w:rPr>
          <w:rStyle w:val="cf01"/>
          <w:i/>
          <w:sz w:val="16"/>
          <w:szCs w:val="16"/>
          <w:lang w:val="en"/>
        </w:rPr>
        <w:t>Designs</w:t>
      </w:r>
      <w:r w:rsidR="001471F2">
        <w:rPr>
          <w:rStyle w:val="cf01"/>
          <w:i/>
          <w:sz w:val="16"/>
          <w:szCs w:val="16"/>
          <w:lang w:val="en"/>
        </w:rPr>
        <w:t>, R&amp;D</w:t>
      </w:r>
      <w:r w:rsidRPr="00DB3303">
        <w:t xml:space="preserve">, Kirby Building Systems and Structures </w:t>
      </w:r>
      <w:r w:rsidR="001471F2">
        <w:t xml:space="preserve">India </w:t>
      </w:r>
      <w:r w:rsidRPr="00DB3303">
        <w:t>P</w:t>
      </w:r>
      <w:r>
        <w:t>v</w:t>
      </w:r>
      <w:r w:rsidRPr="00DB3303">
        <w:t>t., Ltd., Hyd</w:t>
      </w:r>
      <w:r w:rsidR="001471F2">
        <w:t>.</w:t>
      </w:r>
    </w:p>
    <w:p w14:paraId="04F47F53" w14:textId="77777777" w:rsidR="001309A5" w:rsidRPr="00DB3303" w:rsidRDefault="001309A5" w:rsidP="001309A5">
      <w:pPr>
        <w:pStyle w:val="address"/>
      </w:pPr>
      <w:r>
        <w:rPr>
          <w:vertAlign w:val="superscript"/>
        </w:rPr>
        <w:t>b</w:t>
      </w:r>
      <w:r w:rsidRPr="00DB3303">
        <w:t>Dean (R&amp;D), SIET, Ibrahimpatnam, Ranga Reddy District, Telangana, India</w:t>
      </w:r>
    </w:p>
    <w:p w14:paraId="32C54AB6" w14:textId="77777777" w:rsidR="0045738F" w:rsidRPr="001309A5" w:rsidRDefault="001309A5" w:rsidP="001309A5">
      <w:pPr>
        <w:pStyle w:val="address"/>
        <w:rPr>
          <w:rStyle w:val="e-mail"/>
          <w:rFonts w:ascii="Times New Roman" w:hAnsi="Times New Roman"/>
          <w:noProof w:val="0"/>
        </w:rPr>
      </w:pPr>
      <w:r>
        <w:rPr>
          <w:vertAlign w:val="superscript"/>
        </w:rPr>
        <w:t>c</w:t>
      </w:r>
      <w:r w:rsidRPr="00DB3303">
        <w:t>Director, National Institute of Technology, Raipur, Chhattisgarh, India</w:t>
      </w:r>
      <w:r w:rsidR="009B2539" w:rsidRPr="006809AE">
        <w:br/>
      </w:r>
      <w:r w:rsidR="00E5624C">
        <w:rPr>
          <w:rStyle w:val="e-mail"/>
          <w:vertAlign w:val="superscript"/>
        </w:rPr>
        <w:t>*</w:t>
      </w:r>
      <w:r w:rsidRPr="001309A5">
        <w:rPr>
          <w:rStyle w:val="e-mail"/>
        </w:rPr>
        <w:t>gpadmaja@kirby-india.com</w:t>
      </w:r>
    </w:p>
    <w:p w14:paraId="55D0091C" w14:textId="65BCA700" w:rsidR="001309A5" w:rsidRPr="001309A5" w:rsidRDefault="001309A5" w:rsidP="001309A5">
      <w:pPr>
        <w:pStyle w:val="abstract"/>
        <w:spacing w:after="0"/>
        <w:ind w:firstLine="0"/>
        <w:rPr>
          <w:b/>
          <w:bCs/>
        </w:rPr>
      </w:pPr>
      <w:r w:rsidRPr="001309A5">
        <w:rPr>
          <w:b/>
        </w:rPr>
        <w:t>Abstract.</w:t>
      </w:r>
      <w:r>
        <w:t xml:space="preserve"> </w:t>
      </w:r>
      <w:r w:rsidRPr="00DB3303">
        <w:t xml:space="preserve">Global infrastructure development demands sustainable, cost-effective construction solutions with high strength-to-weight ratios. Recent studies show that composite systems using lightweight </w:t>
      </w:r>
      <w:r w:rsidR="002C0CE4">
        <w:t>aluminum</w:t>
      </w:r>
      <w:r w:rsidRPr="00DB3303">
        <w:t xml:space="preserve"> </w:t>
      </w:r>
      <w:r w:rsidR="001471F2">
        <w:t>and light gauge</w:t>
      </w:r>
      <w:r w:rsidRPr="00DB3303">
        <w:t xml:space="preserve"> </w:t>
      </w:r>
      <w:r w:rsidR="001471F2">
        <w:t xml:space="preserve">(LG) </w:t>
      </w:r>
      <w:r w:rsidRPr="00DB3303">
        <w:t xml:space="preserve">steel tubes filled with </w:t>
      </w:r>
      <w:r w:rsidR="007C1638">
        <w:t>high-density</w:t>
      </w:r>
      <w:r w:rsidR="001471F2">
        <w:t xml:space="preserve"> </w:t>
      </w:r>
      <w:r w:rsidRPr="00DB3303">
        <w:t xml:space="preserve">polyurethane (PU) foam significantly improve compressive and flexural strength due to their composite action and bonding effects. This study investigates the bond characteristics of </w:t>
      </w:r>
      <w:r>
        <w:t xml:space="preserve">high-density </w:t>
      </w:r>
      <w:r w:rsidRPr="00DB3303">
        <w:t xml:space="preserve">PU foam-filled </w:t>
      </w:r>
      <w:r w:rsidR="002C0CE4">
        <w:t>aluminum</w:t>
      </w:r>
      <w:r w:rsidRPr="00DB3303">
        <w:t xml:space="preserve"> and </w:t>
      </w:r>
      <w:r w:rsidR="001471F2">
        <w:t>LG</w:t>
      </w:r>
      <w:r w:rsidRPr="00DB3303">
        <w:t xml:space="preserve"> steel tubes, utilizing experimental and numerical evaluations. The findings reveal that confined PU foam exhibits significantly enhanced strength compared to unconfined PU foam, due to triaxial confinement and cell structure rearrangement. The bond between </w:t>
      </w:r>
      <w:r w:rsidR="002C0CE4">
        <w:t>aluminum</w:t>
      </w:r>
      <w:r w:rsidRPr="00DB3303">
        <w:t xml:space="preserve"> and</w:t>
      </w:r>
      <w:r>
        <w:t xml:space="preserve"> high-density</w:t>
      </w:r>
      <w:r w:rsidRPr="00DB3303">
        <w:t xml:space="preserve"> PU foam demonstrates reasonable accuracy compared to the steel-concrete bond. Although high-density PU foam-filled steel square tubes show slightly lower compatibility than </w:t>
      </w:r>
      <w:r w:rsidR="002C0CE4">
        <w:t>aluminum</w:t>
      </w:r>
      <w:r w:rsidRPr="00DB3303">
        <w:t xml:space="preserve"> circular tubes, both configurations offer substantial improvements in bond performance, validating their flexural and compressive strength enhancements. </w:t>
      </w:r>
      <w:r w:rsidR="001471F2" w:rsidRPr="00DB3303">
        <w:t xml:space="preserve">Further research on </w:t>
      </w:r>
      <w:r w:rsidR="001471F2">
        <w:t>LG</w:t>
      </w:r>
      <w:r w:rsidR="00423344">
        <w:t xml:space="preserve"> steel</w:t>
      </w:r>
      <w:r w:rsidR="001471F2">
        <w:t xml:space="preserve"> square tubes should be carried out by introducing ribs for improving bond </w:t>
      </w:r>
      <w:r w:rsidR="00263EA8">
        <w:t>behavio</w:t>
      </w:r>
      <w:r w:rsidR="002C0CE4">
        <w:t>u</w:t>
      </w:r>
      <w:r w:rsidR="00263EA8">
        <w:t>r</w:t>
      </w:r>
      <w:r w:rsidR="001471F2" w:rsidRPr="00DB3303">
        <w:t>.</w:t>
      </w:r>
      <w:r w:rsidR="001471F2">
        <w:t xml:space="preserve"> </w:t>
      </w:r>
      <w:r w:rsidRPr="00DB3303">
        <w:t xml:space="preserve">These composite systems are suitable for applications in structural components, including bracings, solar panel supports, and lightweight shelters. However, the study highlights the potential of using </w:t>
      </w:r>
      <w:r>
        <w:t xml:space="preserve">high-density </w:t>
      </w:r>
      <w:r w:rsidRPr="00DB3303">
        <w:t>PU foam as an effective infill material in lightweight structural applications, contributing to the advancement of sustainable construction practices</w:t>
      </w:r>
    </w:p>
    <w:p w14:paraId="28FA6954" w14:textId="43C1E15F" w:rsidR="001309A5" w:rsidRPr="00EE426C" w:rsidRDefault="001309A5" w:rsidP="001309A5">
      <w:pPr>
        <w:pStyle w:val="keywords"/>
      </w:pPr>
      <w:r w:rsidRPr="001309A5">
        <w:rPr>
          <w:b/>
        </w:rPr>
        <w:t>Keywords:</w:t>
      </w:r>
      <w:r w:rsidRPr="00D807F6">
        <w:t xml:space="preserve"> </w:t>
      </w:r>
      <w:r>
        <w:t xml:space="preserve">Sustainable Construction; Strength </w:t>
      </w:r>
      <w:r w:rsidR="000236A5">
        <w:t>to-weight</w:t>
      </w:r>
      <w:r>
        <w:t xml:space="preserve"> ratio; </w:t>
      </w:r>
      <w:r w:rsidR="000236A5">
        <w:t>Economical</w:t>
      </w:r>
      <w:r>
        <w:t xml:space="preserve"> solution; Composite system; </w:t>
      </w:r>
      <w:r w:rsidR="00263EA8">
        <w:t>High-density</w:t>
      </w:r>
      <w:r w:rsidR="00206B7E">
        <w:t xml:space="preserve"> p</w:t>
      </w:r>
      <w:r>
        <w:t>olyurethane foam; Aluminum tubes; Galvanized steel tubes</w:t>
      </w:r>
    </w:p>
    <w:p w14:paraId="29A777C2" w14:textId="77777777" w:rsidR="001309A5" w:rsidRDefault="001309A5" w:rsidP="001309A5">
      <w:pPr>
        <w:pStyle w:val="heading1"/>
      </w:pPr>
      <w:r>
        <w:t>Introduction</w:t>
      </w:r>
    </w:p>
    <w:p w14:paraId="18AA28D1" w14:textId="0DD933E2" w:rsidR="001309A5" w:rsidRPr="001309A5" w:rsidRDefault="001309A5" w:rsidP="001309A5">
      <w:pPr>
        <w:pStyle w:val="p1a"/>
      </w:pPr>
      <w:r w:rsidRPr="001309A5">
        <w:t xml:space="preserve">The increasing global emphasis on infrastructure development necessitates sustainable and cost-effective solutions within the construction industry. Optimization of </w:t>
      </w:r>
      <w:r w:rsidR="00206B7E">
        <w:t>geometry</w:t>
      </w:r>
      <w:r w:rsidRPr="001309A5">
        <w:t xml:space="preserve"> and material properties plays a pivotal role in meeting these demands. Structural elements with high strength-to-weight ratios are particularly valued for their ability to offer </w:t>
      </w:r>
      <w:r w:rsidRPr="001309A5">
        <w:lastRenderedPageBreak/>
        <w:t xml:space="preserve">superior strength while remaining economical. This ratio is extensively explored in composite systems that leverage diverse material properties to enhance overall performance. Such optimization results in enhanced strength-to-weight ratios, which are essential for meeting modern construction requirements. Hollow tubes are commonly employed </w:t>
      </w:r>
      <w:r w:rsidR="000B44A0">
        <w:t xml:space="preserve">due to </w:t>
      </w:r>
      <w:r w:rsidR="00263EA8">
        <w:t>their</w:t>
      </w:r>
      <w:r w:rsidR="000B44A0">
        <w:t xml:space="preserve"> higher</w:t>
      </w:r>
      <w:r w:rsidRPr="001309A5">
        <w:t xml:space="preserve"> stiffness and mitigate torsional effects. However, their thin-walled sections make them susceptible to local buckling. This challenge can be effectively </w:t>
      </w:r>
      <w:r w:rsidR="000B44A0">
        <w:t>resolved</w:t>
      </w:r>
      <w:r w:rsidRPr="001309A5">
        <w:t xml:space="preserve"> using</w:t>
      </w:r>
      <w:r w:rsidR="000B44A0">
        <w:t xml:space="preserve"> sustainable</w:t>
      </w:r>
      <w:r w:rsidRPr="001309A5">
        <w:t xml:space="preserve"> infill materials</w:t>
      </w:r>
      <w:r w:rsidR="000B44A0">
        <w:t>.</w:t>
      </w:r>
    </w:p>
    <w:p w14:paraId="52EC9D83" w14:textId="08333382" w:rsidR="001309A5" w:rsidRDefault="001309A5" w:rsidP="001309A5">
      <w:pPr>
        <w:pStyle w:val="heading2"/>
      </w:pPr>
      <w:r>
        <w:t>Material</w:t>
      </w:r>
      <w:r w:rsidR="002502D3">
        <w:t>s</w:t>
      </w:r>
    </w:p>
    <w:p w14:paraId="5A637E49" w14:textId="29DC0239" w:rsidR="001309A5" w:rsidRPr="00DF4C99" w:rsidRDefault="000236A5" w:rsidP="001309A5">
      <w:pPr>
        <w:pStyle w:val="p1a"/>
      </w:pPr>
      <w:r>
        <w:t>Aluminum</w:t>
      </w:r>
      <w:r w:rsidR="001309A5" w:rsidRPr="001309A5">
        <w:t xml:space="preserve">, galvanized </w:t>
      </w:r>
      <w:r w:rsidR="0055558C">
        <w:t xml:space="preserve">LG </w:t>
      </w:r>
      <w:r w:rsidR="001309A5" w:rsidRPr="001309A5">
        <w:t>stee</w:t>
      </w:r>
      <w:r w:rsidR="001309A5" w:rsidRPr="00DF4C99">
        <w:t xml:space="preserve">l, and </w:t>
      </w:r>
      <w:r w:rsidR="00A03E00" w:rsidRPr="00DF4C99">
        <w:t xml:space="preserve">High-density </w:t>
      </w:r>
      <w:r w:rsidR="001309A5" w:rsidRPr="00DF4C99">
        <w:t xml:space="preserve">polyurethane (PU) foam </w:t>
      </w:r>
      <w:r w:rsidR="0055558C" w:rsidRPr="00DF4C99">
        <w:t>are</w:t>
      </w:r>
      <w:r w:rsidR="001309A5" w:rsidRPr="00DF4C99">
        <w:t xml:space="preserve"> chosen for this study based on their distinct properties and established performance across diverse engineering applications [1,2]. </w:t>
      </w:r>
      <w:r w:rsidR="005D34C2" w:rsidRPr="00DF4C99">
        <w:t>Aluminum</w:t>
      </w:r>
      <w:r w:rsidR="005D34C2">
        <w:t xml:space="preserve"> and LG steel</w:t>
      </w:r>
      <w:r w:rsidR="001309A5" w:rsidRPr="00DF4C99">
        <w:t xml:space="preserve"> </w:t>
      </w:r>
      <w:r w:rsidR="00263EA8">
        <w:t>are</w:t>
      </w:r>
      <w:r w:rsidR="001309A5" w:rsidRPr="00DF4C99">
        <w:t xml:space="preserve"> highly valued for </w:t>
      </w:r>
      <w:r w:rsidR="00263EA8">
        <w:t>their</w:t>
      </w:r>
      <w:r w:rsidR="001309A5" w:rsidRPr="00DF4C99">
        <w:t xml:space="preserve"> lightweight nature, corrosion resistance, thermal and electrical conductivity, and sustainability. </w:t>
      </w:r>
      <w:r w:rsidR="005D34C2">
        <w:t>They</w:t>
      </w:r>
      <w:r w:rsidR="001309A5" w:rsidRPr="00DF4C99">
        <w:t xml:space="preserve"> </w:t>
      </w:r>
      <w:r w:rsidR="005D34C2">
        <w:t>are</w:t>
      </w:r>
      <w:r w:rsidR="001309A5" w:rsidRPr="00DF4C99">
        <w:t xml:space="preserve"> widely utilized in construction and various other industries. Notably, </w:t>
      </w:r>
      <w:r w:rsidR="00A03E00" w:rsidRPr="00DF4C99">
        <w:t>Padmaja</w:t>
      </w:r>
      <w:r w:rsidR="001309A5" w:rsidRPr="00DF4C99">
        <w:t xml:space="preserve"> [3] highlights </w:t>
      </w:r>
      <w:r w:rsidRPr="00DF4C99">
        <w:t>aluminum</w:t>
      </w:r>
      <w:r w:rsidR="001309A5" w:rsidRPr="00DF4C99">
        <w:t xml:space="preserve"> </w:t>
      </w:r>
      <w:r w:rsidR="00A03E00" w:rsidRPr="00DF4C99">
        <w:t>tubes</w:t>
      </w:r>
      <w:r w:rsidR="000C3E2B">
        <w:t xml:space="preserve"> filled with high-density PU foam</w:t>
      </w:r>
      <w:r w:rsidR="00A03E00" w:rsidRPr="00DF4C99">
        <w:t xml:space="preserve"> as the </w:t>
      </w:r>
      <w:r w:rsidR="00E81C66" w:rsidRPr="00DF4C99">
        <w:t xml:space="preserve">sustainable and </w:t>
      </w:r>
      <w:r w:rsidR="00263EA8">
        <w:t>economical</w:t>
      </w:r>
      <w:r w:rsidR="00A03E00" w:rsidRPr="00DF4C99">
        <w:t xml:space="preserve"> solution in composite systems considering </w:t>
      </w:r>
      <w:r w:rsidR="00EF4490" w:rsidRPr="00DF4C99">
        <w:t>their</w:t>
      </w:r>
      <w:r w:rsidR="00A03E00" w:rsidRPr="00DF4C99">
        <w:t xml:space="preserve"> significant </w:t>
      </w:r>
      <w:r w:rsidR="000C3E2B">
        <w:t>ratio of strength to weight</w:t>
      </w:r>
      <w:r w:rsidR="001309A5" w:rsidRPr="00DF4C99">
        <w:t>.</w:t>
      </w:r>
    </w:p>
    <w:p w14:paraId="6840D234" w14:textId="76F00907" w:rsidR="001309A5" w:rsidRPr="00DB4C76" w:rsidRDefault="00EF4490" w:rsidP="001309A5">
      <w:pPr>
        <w:rPr>
          <w:lang w:val="en-IN" w:eastAsia="en-IN"/>
        </w:rPr>
      </w:pPr>
      <w:r w:rsidRPr="00DF4C99">
        <w:rPr>
          <w:lang w:val="en-IN" w:eastAsia="en-IN"/>
        </w:rPr>
        <w:t>High-density</w:t>
      </w:r>
      <w:r w:rsidR="00A03E00">
        <w:rPr>
          <w:lang w:val="en-IN" w:eastAsia="en-IN"/>
        </w:rPr>
        <w:t xml:space="preserve"> </w:t>
      </w:r>
      <w:r w:rsidR="001309A5" w:rsidRPr="007835E7">
        <w:rPr>
          <w:lang w:val="en-IN" w:eastAsia="en-IN"/>
        </w:rPr>
        <w:t>Polyurethane (PU) foam is widely utilized in engineering due to its cost-effectiveness, versatility, and exceptional properties such as energy absorption, impact resistance, and insulation. Zhang et al. [</w:t>
      </w:r>
      <w:r w:rsidR="003327D7">
        <w:rPr>
          <w:lang w:val="en-IN" w:eastAsia="en-IN"/>
        </w:rPr>
        <w:t>4</w:t>
      </w:r>
      <w:r w:rsidR="001309A5" w:rsidRPr="007835E7">
        <w:rPr>
          <w:lang w:val="en-IN" w:eastAsia="en-IN"/>
        </w:rPr>
        <w:t xml:space="preserve">] </w:t>
      </w:r>
      <w:r w:rsidR="000C3E2B">
        <w:rPr>
          <w:lang w:val="en-IN" w:eastAsia="en-IN"/>
        </w:rPr>
        <w:t xml:space="preserve">observed that the rise in foam tube’s overall energy absorption </w:t>
      </w:r>
      <w:r w:rsidR="001309A5" w:rsidRPr="007835E7">
        <w:rPr>
          <w:lang w:val="en-IN" w:eastAsia="en-IN"/>
        </w:rPr>
        <w:t xml:space="preserve">is attributed to interactions at the contact surface. </w:t>
      </w:r>
      <w:r w:rsidR="000C3E2B">
        <w:rPr>
          <w:lang w:val="en-IN" w:eastAsia="en-IN"/>
        </w:rPr>
        <w:t xml:space="preserve">Temperature, material orientation, density, and loading rate all affect how PU foam’s dynamic compression behaviour </w:t>
      </w:r>
      <w:r w:rsidR="001309A5" w:rsidRPr="007835E7">
        <w:rPr>
          <w:lang w:val="en-IN" w:eastAsia="en-IN"/>
        </w:rPr>
        <w:t>[</w:t>
      </w:r>
      <w:r w:rsidR="003327D7">
        <w:rPr>
          <w:lang w:val="en-IN" w:eastAsia="en-IN"/>
        </w:rPr>
        <w:t>5</w:t>
      </w:r>
      <w:r w:rsidR="001309A5" w:rsidRPr="007835E7">
        <w:rPr>
          <w:lang w:val="en-IN" w:eastAsia="en-IN"/>
        </w:rPr>
        <w:t xml:space="preserve">]. </w:t>
      </w:r>
      <w:r w:rsidR="000A6AA5">
        <w:rPr>
          <w:lang w:val="en-IN" w:eastAsia="en-IN"/>
        </w:rPr>
        <w:t xml:space="preserve">The </w:t>
      </w:r>
      <w:r w:rsidR="001309A5" w:rsidRPr="007835E7">
        <w:rPr>
          <w:lang w:val="en-IN" w:eastAsia="en-IN"/>
        </w:rPr>
        <w:t xml:space="preserve">studies </w:t>
      </w:r>
      <w:r w:rsidR="000A6AA5">
        <w:rPr>
          <w:lang w:val="en-IN" w:eastAsia="en-IN"/>
        </w:rPr>
        <w:t xml:space="preserve">also </w:t>
      </w:r>
      <w:r w:rsidR="001309A5" w:rsidRPr="007835E7">
        <w:rPr>
          <w:lang w:val="en-IN" w:eastAsia="en-IN"/>
        </w:rPr>
        <w:t xml:space="preserve">demonstrated </w:t>
      </w:r>
      <w:r w:rsidR="000C3E2B">
        <w:rPr>
          <w:lang w:val="en-IN" w:eastAsia="en-IN"/>
        </w:rPr>
        <w:t>that the binding properties of PU foam with metal surfaces are adequate</w:t>
      </w:r>
      <w:r w:rsidR="001309A5" w:rsidRPr="007835E7">
        <w:rPr>
          <w:lang w:val="en-IN" w:eastAsia="en-IN"/>
        </w:rPr>
        <w:t>, making it suitable for aerospace and automotive applications</w:t>
      </w:r>
      <w:r w:rsidR="000A6AA5">
        <w:rPr>
          <w:lang w:val="en-IN" w:eastAsia="en-IN"/>
        </w:rPr>
        <w:t xml:space="preserve">. </w:t>
      </w:r>
      <w:r w:rsidR="001309A5" w:rsidRPr="007835E7">
        <w:rPr>
          <w:lang w:val="en-IN" w:eastAsia="en-IN"/>
        </w:rPr>
        <w:t>Research has consistently shown that higher foam densities enhance PU foam performance under dynamic loading [</w:t>
      </w:r>
      <w:r w:rsidR="003327D7">
        <w:rPr>
          <w:lang w:val="en-IN" w:eastAsia="en-IN"/>
        </w:rPr>
        <w:t>6</w:t>
      </w:r>
      <w:r w:rsidR="001309A5" w:rsidRPr="007835E7">
        <w:rPr>
          <w:lang w:val="en-IN" w:eastAsia="en-IN"/>
        </w:rPr>
        <w:t>-</w:t>
      </w:r>
      <w:r w:rsidR="003327D7">
        <w:rPr>
          <w:lang w:val="en-IN" w:eastAsia="en-IN"/>
        </w:rPr>
        <w:t>7</w:t>
      </w:r>
      <w:r w:rsidR="001309A5" w:rsidRPr="007835E7">
        <w:rPr>
          <w:lang w:val="en-IN" w:eastAsia="en-IN"/>
        </w:rPr>
        <w:t xml:space="preserve">]. This study employs high-density PU foam (150 kg/m³) </w:t>
      </w:r>
      <w:r w:rsidR="000C3E2B">
        <w:rPr>
          <w:lang w:val="en-IN" w:eastAsia="en-IN"/>
        </w:rPr>
        <w:t xml:space="preserve">as an infill material for cold-formed LG steel square tubes and circular aluminium tubes, </w:t>
      </w:r>
      <w:r w:rsidR="001309A5" w:rsidRPr="007835E7">
        <w:rPr>
          <w:lang w:val="en-IN" w:eastAsia="en-IN"/>
        </w:rPr>
        <w:t>leveraging its superior performance</w:t>
      </w:r>
      <w:r w:rsidR="001309A5" w:rsidRPr="00DB4C76">
        <w:rPr>
          <w:lang w:val="en-IN" w:eastAsia="en-IN"/>
        </w:rPr>
        <w:t xml:space="preserve"> attributes.</w:t>
      </w:r>
    </w:p>
    <w:p w14:paraId="19CD1120" w14:textId="77777777" w:rsidR="001309A5" w:rsidRDefault="001309A5" w:rsidP="001309A5">
      <w:pPr>
        <w:pStyle w:val="heading2"/>
      </w:pPr>
      <w:r>
        <w:t>Bond strength</w:t>
      </w:r>
    </w:p>
    <w:p w14:paraId="6B16B23E" w14:textId="3219683A" w:rsidR="001309A5" w:rsidRPr="001309A5" w:rsidRDefault="001309A5" w:rsidP="001309A5">
      <w:pPr>
        <w:pStyle w:val="p1a"/>
      </w:pPr>
      <w:r w:rsidRPr="001309A5">
        <w:t xml:space="preserve">Further literature investigation has focused on evaluating the bond strength of composite elements. </w:t>
      </w:r>
      <w:r w:rsidR="000C3E2B">
        <w:t>Virdi et al. [8] evaluated the strength of the bond between the concrete core and the steel tube by testing concrete-filled steel tubes.</w:t>
      </w:r>
      <w:r w:rsidRPr="001309A5">
        <w:t xml:space="preserve"> Their study explored various parameters such as </w:t>
      </w:r>
      <w:r w:rsidR="00AF4828">
        <w:t>the ratios of tube diameter to thickness, length to diameter, and compressive strength of concrete</w:t>
      </w:r>
      <w:r w:rsidRPr="001309A5">
        <w:t xml:space="preserve">. They concluded that bond resistance is primarily influenced by the interlocking mechanism between concrete and the steel surface, encompassing both micro locking from surface roughness and macro locking from manufacturing tolerances. </w:t>
      </w:r>
      <w:r w:rsidR="007C6E35">
        <w:t>Song</w:t>
      </w:r>
      <w:r w:rsidRPr="001309A5">
        <w:t xml:space="preserve"> et al. [</w:t>
      </w:r>
      <w:r w:rsidR="003327D7">
        <w:t>9</w:t>
      </w:r>
      <w:r w:rsidRPr="001309A5">
        <w:t xml:space="preserve">] </w:t>
      </w:r>
      <w:r w:rsidR="00AF4828">
        <w:t xml:space="preserve">carried out pull-out tests at various temperatures </w:t>
      </w:r>
      <w:r w:rsidR="00AF4828" w:rsidRPr="001309A5">
        <w:t>(20 to 800°C)</w:t>
      </w:r>
      <w:r w:rsidR="00AF4828">
        <w:t xml:space="preserve"> on steel tubes filled with concrete</w:t>
      </w:r>
      <w:r w:rsidRPr="001309A5">
        <w:t xml:space="preserve">. Their findings indicated that cross-sectional shape, concrete type, and steel type significantly influence bond </w:t>
      </w:r>
      <w:r w:rsidR="000236A5">
        <w:t>behavior</w:t>
      </w:r>
      <w:r w:rsidRPr="001309A5">
        <w:t xml:space="preserve">, with carbon steel demonstrating higher bond strengths than stainless steel. </w:t>
      </w:r>
      <w:r w:rsidR="00AF4828">
        <w:t>In their investigation o</w:t>
      </w:r>
      <w:r w:rsidR="006A0DFD">
        <w:t>f</w:t>
      </w:r>
      <w:r w:rsidR="00AF4828">
        <w:t xml:space="preserve"> the effects of bonded and unbonded infill materials on the bond strength of </w:t>
      </w:r>
      <w:r w:rsidR="002C0CE4">
        <w:t>aluminum</w:t>
      </w:r>
      <w:r w:rsidR="00AF4828">
        <w:t xml:space="preserve"> foam-filled structures, Santosa et al. [10] found that bonded foam had a 60% </w:t>
      </w:r>
      <w:r w:rsidR="00AF4828">
        <w:lastRenderedPageBreak/>
        <w:t>higher mean crushing force because of the increased adhesion between the tube wall and the core infill.</w:t>
      </w:r>
      <w:r w:rsidRPr="001309A5">
        <w:t xml:space="preserve"> Hanssen et al. [</w:t>
      </w:r>
      <w:r w:rsidR="003327D7">
        <w:t>1</w:t>
      </w:r>
      <w:r w:rsidRPr="001309A5">
        <w:t xml:space="preserve">1, </w:t>
      </w:r>
      <w:r w:rsidR="003327D7">
        <w:t>1</w:t>
      </w:r>
      <w:r w:rsidRPr="001309A5">
        <w:t xml:space="preserve">2] </w:t>
      </w:r>
      <w:r w:rsidR="00AF4828">
        <w:t xml:space="preserve">examined </w:t>
      </w:r>
      <w:r w:rsidRPr="001309A5">
        <w:t xml:space="preserve">the crushing response of </w:t>
      </w:r>
      <w:r w:rsidR="000236A5">
        <w:t>aluminum</w:t>
      </w:r>
      <w:r w:rsidRPr="001309A5">
        <w:t xml:space="preserve"> foam-filled extrusions, focusing on the impact of bonded foam in suppressing progressive folds and global rupture. Their research highlighted a significant decrease in the elasticity modulus with bonded foam </w:t>
      </w:r>
      <w:r w:rsidR="00DA76FD" w:rsidRPr="001309A5">
        <w:t>configurations.</w:t>
      </w:r>
      <w:r w:rsidR="00DA76FD">
        <w:t xml:space="preserve"> The above </w:t>
      </w:r>
      <w:r w:rsidR="00263EA8">
        <w:t>post-study</w:t>
      </w:r>
      <w:r w:rsidR="00DA76FD">
        <w:t xml:space="preserve"> showcases the influence of bond behavior in enhancing the capacity of </w:t>
      </w:r>
      <w:r w:rsidR="00263EA8">
        <w:t>composite-filled</w:t>
      </w:r>
      <w:r w:rsidR="00DA76FD">
        <w:t xml:space="preserve"> tubes.</w:t>
      </w:r>
    </w:p>
    <w:p w14:paraId="60C0E883" w14:textId="51D31970" w:rsidR="001309A5" w:rsidRDefault="00972165" w:rsidP="001309A5">
      <w:pPr>
        <w:pStyle w:val="heading2"/>
      </w:pPr>
      <w:r>
        <w:t xml:space="preserve">Composite High-Density PU </w:t>
      </w:r>
      <w:r w:rsidR="00263EA8">
        <w:t>Foam-Filled</w:t>
      </w:r>
      <w:r>
        <w:t xml:space="preserve"> Tubes</w:t>
      </w:r>
    </w:p>
    <w:p w14:paraId="63A4CA52" w14:textId="4413BEB6" w:rsidR="001309A5" w:rsidRDefault="00972165" w:rsidP="001309A5">
      <w:pPr>
        <w:ind w:firstLine="0"/>
      </w:pPr>
      <w:r>
        <w:t xml:space="preserve">The </w:t>
      </w:r>
      <w:r w:rsidR="00AF4828">
        <w:t>galvanized</w:t>
      </w:r>
      <w:r>
        <w:t xml:space="preserve"> </w:t>
      </w:r>
      <w:r w:rsidR="00AF4828">
        <w:t>LG</w:t>
      </w:r>
      <w:r w:rsidR="001309A5" w:rsidRPr="001309A5">
        <w:t xml:space="preserve"> steel and </w:t>
      </w:r>
      <w:r w:rsidR="000236A5">
        <w:t>aluminum</w:t>
      </w:r>
      <w:r w:rsidR="001309A5" w:rsidRPr="001309A5">
        <w:t xml:space="preserve"> </w:t>
      </w:r>
      <w:r>
        <w:t xml:space="preserve">tubes </w:t>
      </w:r>
      <w:r w:rsidR="001309A5" w:rsidRPr="001309A5">
        <w:t xml:space="preserve">are increasingly popular in modern construction due to their </w:t>
      </w:r>
      <w:r w:rsidR="002C0CE4" w:rsidRPr="001309A5">
        <w:t>favo</w:t>
      </w:r>
      <w:r w:rsidR="002C0CE4">
        <w:t>r</w:t>
      </w:r>
      <w:r w:rsidR="002C0CE4" w:rsidRPr="001309A5">
        <w:t>able</w:t>
      </w:r>
      <w:r w:rsidR="001309A5" w:rsidRPr="001309A5">
        <w:t xml:space="preserve"> strength-to-weight ratios and ease of fabrication. When combined with sustainable polyurethane (PU) foam, these materials exhibit enhanced composite </w:t>
      </w:r>
      <w:r w:rsidR="000236A5">
        <w:t>behavior</w:t>
      </w:r>
      <w:r w:rsidR="001309A5" w:rsidRPr="001309A5">
        <w:t xml:space="preserve"> [1</w:t>
      </w:r>
      <w:r w:rsidR="003327D7">
        <w:t>-3</w:t>
      </w:r>
      <w:r w:rsidR="001309A5" w:rsidRPr="001309A5">
        <w:t xml:space="preserve">]. </w:t>
      </w:r>
      <w:r>
        <w:t>H</w:t>
      </w:r>
      <w:r w:rsidR="001309A5" w:rsidRPr="001309A5">
        <w:t xml:space="preserve">igh-density PU foam offers excellent energy absorption and confinement, stabilizing the interface between the steel or </w:t>
      </w:r>
      <w:r w:rsidR="000236A5">
        <w:t>aluminum</w:t>
      </w:r>
      <w:r w:rsidR="001309A5" w:rsidRPr="001309A5">
        <w:t xml:space="preserve"> and the foam. This confinement helps to control geometric failures related to local buckling and allows the material to yield until the plastic state, enhancing the load-carrying capacity. Research has demonstrated that using high-density PU foam infill can significantly improve the compressive (refer to Table 1) and flexural strength of these composite sections, attributing </w:t>
      </w:r>
      <w:r w:rsidR="000236A5">
        <w:t>their</w:t>
      </w:r>
      <w:r w:rsidR="001309A5" w:rsidRPr="001309A5">
        <w:t xml:space="preserve"> bonding effects </w:t>
      </w:r>
      <w:r w:rsidR="000236A5">
        <w:t xml:space="preserve">and </w:t>
      </w:r>
      <w:r w:rsidR="001309A5" w:rsidRPr="001309A5">
        <w:t>making them highly efficient for structural applications.</w:t>
      </w:r>
    </w:p>
    <w:p w14:paraId="43F298BC" w14:textId="36CCC5BF" w:rsidR="001309A5" w:rsidRPr="00DB7E4A" w:rsidRDefault="001309A5" w:rsidP="001309A5">
      <w:pPr>
        <w:pStyle w:val="tablecaption"/>
      </w:pPr>
      <w:r>
        <w:rPr>
          <w:b/>
        </w:rPr>
        <w:t xml:space="preserve">Table </w:t>
      </w:r>
      <w:r>
        <w:rPr>
          <w:b/>
        </w:rPr>
        <w:fldChar w:fldCharType="begin"/>
      </w:r>
      <w:r>
        <w:rPr>
          <w:b/>
        </w:rPr>
        <w:instrText xml:space="preserve"> SEQ "Table" \* MERGEFORMAT </w:instrText>
      </w:r>
      <w:r>
        <w:rPr>
          <w:b/>
        </w:rPr>
        <w:fldChar w:fldCharType="separate"/>
      </w:r>
      <w:r w:rsidR="00CD609F">
        <w:rPr>
          <w:b/>
          <w:noProof/>
        </w:rPr>
        <w:t>1</w:t>
      </w:r>
      <w:r>
        <w:rPr>
          <w:b/>
        </w:rPr>
        <w:fldChar w:fldCharType="end"/>
      </w:r>
      <w:r>
        <w:rPr>
          <w:b/>
        </w:rPr>
        <w:t>.</w:t>
      </w:r>
      <w:r>
        <w:t xml:space="preserve"> </w:t>
      </w:r>
      <w:r w:rsidRPr="001309A5">
        <w:t>Compressive</w:t>
      </w:r>
      <w:r w:rsidRPr="00DB7E4A">
        <w:t xml:space="preserve"> strength enhancements of</w:t>
      </w:r>
      <w:r>
        <w:t xml:space="preserve"> </w:t>
      </w:r>
      <w:r w:rsidR="003D0A7E">
        <w:t>H</w:t>
      </w:r>
      <w:r>
        <w:rPr>
          <w:szCs w:val="18"/>
        </w:rPr>
        <w:t>igh-</w:t>
      </w:r>
      <w:r w:rsidR="003D0A7E">
        <w:rPr>
          <w:szCs w:val="18"/>
        </w:rPr>
        <w:t>D</w:t>
      </w:r>
      <w:r>
        <w:rPr>
          <w:szCs w:val="18"/>
        </w:rPr>
        <w:t>ensity</w:t>
      </w:r>
      <w:r w:rsidRPr="00DB7E4A">
        <w:t xml:space="preserve"> PU </w:t>
      </w:r>
      <w:r w:rsidR="000236A5">
        <w:t>foam-filled</w:t>
      </w:r>
      <w:r w:rsidRPr="00DB7E4A">
        <w:t xml:space="preserve"> tubes [1]</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1"/>
        <w:gridCol w:w="733"/>
        <w:gridCol w:w="812"/>
        <w:gridCol w:w="870"/>
        <w:gridCol w:w="870"/>
        <w:gridCol w:w="1042"/>
        <w:gridCol w:w="1490"/>
      </w:tblGrid>
      <w:tr w:rsidR="001309A5" w:rsidRPr="00F85B7C" w14:paraId="31516C12" w14:textId="77777777" w:rsidTr="002502D3">
        <w:tc>
          <w:tcPr>
            <w:tcW w:w="795" w:type="pct"/>
            <w:vMerge w:val="restart"/>
            <w:tcBorders>
              <w:top w:val="single" w:sz="8" w:space="0" w:color="auto"/>
              <w:bottom w:val="single" w:sz="4" w:space="0" w:color="auto"/>
            </w:tcBorders>
            <w:vAlign w:val="center"/>
          </w:tcPr>
          <w:p w14:paraId="4CDA422E"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D/t</w:t>
            </w:r>
          </w:p>
        </w:tc>
        <w:tc>
          <w:tcPr>
            <w:tcW w:w="530" w:type="pct"/>
            <w:vMerge w:val="restart"/>
            <w:tcBorders>
              <w:top w:val="single" w:sz="8" w:space="0" w:color="auto"/>
              <w:bottom w:val="single" w:sz="4" w:space="0" w:color="auto"/>
            </w:tcBorders>
            <w:vAlign w:val="center"/>
          </w:tcPr>
          <w:p w14:paraId="6C29CF67"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L/D</w:t>
            </w:r>
          </w:p>
        </w:tc>
        <w:tc>
          <w:tcPr>
            <w:tcW w:w="2598" w:type="pct"/>
            <w:gridSpan w:val="4"/>
            <w:tcBorders>
              <w:top w:val="single" w:sz="8" w:space="0" w:color="auto"/>
              <w:bottom w:val="single" w:sz="4" w:space="0" w:color="auto"/>
            </w:tcBorders>
            <w:vAlign w:val="center"/>
          </w:tcPr>
          <w:p w14:paraId="1B068374"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Mean Compressive Force (kN)</w:t>
            </w:r>
          </w:p>
        </w:tc>
        <w:tc>
          <w:tcPr>
            <w:tcW w:w="1077" w:type="pct"/>
            <w:vMerge w:val="restart"/>
            <w:tcBorders>
              <w:top w:val="single" w:sz="8" w:space="0" w:color="auto"/>
              <w:bottom w:val="single" w:sz="8" w:space="0" w:color="auto"/>
            </w:tcBorders>
            <w:vAlign w:val="center"/>
          </w:tcPr>
          <w:p w14:paraId="63EDB54E"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Enhancement (%) from (foam + tube) to (foam filled tube)</w:t>
            </w:r>
          </w:p>
        </w:tc>
      </w:tr>
      <w:tr w:rsidR="001309A5" w:rsidRPr="00F85B7C" w14:paraId="668C14F8" w14:textId="77777777" w:rsidTr="002502D3">
        <w:trPr>
          <w:trHeight w:val="461"/>
        </w:trPr>
        <w:tc>
          <w:tcPr>
            <w:tcW w:w="795" w:type="pct"/>
            <w:vMerge/>
            <w:tcBorders>
              <w:bottom w:val="single" w:sz="8" w:space="0" w:color="auto"/>
            </w:tcBorders>
            <w:vAlign w:val="center"/>
          </w:tcPr>
          <w:p w14:paraId="1BABB63F" w14:textId="77777777" w:rsidR="001309A5" w:rsidRPr="00F85B7C" w:rsidRDefault="001309A5" w:rsidP="00DF7C2D">
            <w:pPr>
              <w:spacing w:after="80" w:line="200" w:lineRule="exact"/>
              <w:ind w:firstLine="0"/>
              <w:jc w:val="center"/>
              <w:rPr>
                <w:rFonts w:ascii="Times New Roman" w:hAnsi="Times New Roman" w:cs="Times New Roman"/>
                <w:sz w:val="18"/>
                <w:szCs w:val="18"/>
              </w:rPr>
            </w:pPr>
          </w:p>
        </w:tc>
        <w:tc>
          <w:tcPr>
            <w:tcW w:w="530" w:type="pct"/>
            <w:vMerge/>
            <w:tcBorders>
              <w:bottom w:val="single" w:sz="8" w:space="0" w:color="auto"/>
            </w:tcBorders>
            <w:vAlign w:val="center"/>
          </w:tcPr>
          <w:p w14:paraId="257B6235" w14:textId="77777777" w:rsidR="001309A5" w:rsidRPr="00F85B7C" w:rsidRDefault="001309A5" w:rsidP="00DF7C2D">
            <w:pPr>
              <w:spacing w:after="80" w:line="200" w:lineRule="exact"/>
              <w:ind w:firstLine="0"/>
              <w:jc w:val="center"/>
              <w:rPr>
                <w:rFonts w:ascii="Times New Roman" w:hAnsi="Times New Roman" w:cs="Times New Roman"/>
                <w:sz w:val="18"/>
                <w:szCs w:val="18"/>
              </w:rPr>
            </w:pPr>
          </w:p>
        </w:tc>
        <w:tc>
          <w:tcPr>
            <w:tcW w:w="587" w:type="pct"/>
            <w:tcBorders>
              <w:top w:val="single" w:sz="4" w:space="0" w:color="auto"/>
              <w:bottom w:val="single" w:sz="8" w:space="0" w:color="auto"/>
            </w:tcBorders>
            <w:vAlign w:val="center"/>
          </w:tcPr>
          <w:p w14:paraId="0973647F"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PU Foam</w:t>
            </w:r>
          </w:p>
        </w:tc>
        <w:tc>
          <w:tcPr>
            <w:tcW w:w="629" w:type="pct"/>
            <w:tcBorders>
              <w:top w:val="single" w:sz="4" w:space="0" w:color="auto"/>
              <w:bottom w:val="single" w:sz="8" w:space="0" w:color="auto"/>
            </w:tcBorders>
            <w:vAlign w:val="center"/>
          </w:tcPr>
          <w:p w14:paraId="2AE31C6D"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Tube</w:t>
            </w:r>
          </w:p>
        </w:tc>
        <w:tc>
          <w:tcPr>
            <w:tcW w:w="629" w:type="pct"/>
            <w:tcBorders>
              <w:top w:val="single" w:sz="4" w:space="0" w:color="auto"/>
              <w:bottom w:val="single" w:sz="8" w:space="0" w:color="auto"/>
            </w:tcBorders>
            <w:vAlign w:val="center"/>
          </w:tcPr>
          <w:p w14:paraId="65C65597"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PU Foam + Tube</w:t>
            </w:r>
          </w:p>
        </w:tc>
        <w:tc>
          <w:tcPr>
            <w:tcW w:w="753" w:type="pct"/>
            <w:tcBorders>
              <w:top w:val="single" w:sz="4" w:space="0" w:color="auto"/>
              <w:bottom w:val="single" w:sz="8" w:space="0" w:color="auto"/>
            </w:tcBorders>
            <w:vAlign w:val="center"/>
          </w:tcPr>
          <w:p w14:paraId="04CE7373"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PU Foam Filled Tube</w:t>
            </w:r>
          </w:p>
        </w:tc>
        <w:tc>
          <w:tcPr>
            <w:tcW w:w="1077" w:type="pct"/>
            <w:vMerge/>
            <w:tcBorders>
              <w:top w:val="single" w:sz="4" w:space="0" w:color="auto"/>
              <w:bottom w:val="single" w:sz="8" w:space="0" w:color="auto"/>
            </w:tcBorders>
            <w:vAlign w:val="center"/>
          </w:tcPr>
          <w:p w14:paraId="7F2FC456" w14:textId="77777777" w:rsidR="001309A5" w:rsidRPr="00F85B7C" w:rsidRDefault="001309A5" w:rsidP="00DF7C2D">
            <w:pPr>
              <w:spacing w:after="80" w:line="200" w:lineRule="exact"/>
              <w:ind w:firstLine="0"/>
              <w:jc w:val="center"/>
              <w:rPr>
                <w:rFonts w:ascii="Times New Roman" w:hAnsi="Times New Roman" w:cs="Times New Roman"/>
                <w:sz w:val="18"/>
                <w:szCs w:val="18"/>
              </w:rPr>
            </w:pPr>
          </w:p>
        </w:tc>
      </w:tr>
      <w:tr w:rsidR="001309A5" w:rsidRPr="00F85B7C" w14:paraId="482238BB" w14:textId="77777777" w:rsidTr="00DF7C2D">
        <w:tc>
          <w:tcPr>
            <w:tcW w:w="5000" w:type="pct"/>
            <w:gridSpan w:val="7"/>
            <w:tcBorders>
              <w:top w:val="single" w:sz="4" w:space="0" w:color="auto"/>
              <w:bottom w:val="single" w:sz="4" w:space="0" w:color="auto"/>
            </w:tcBorders>
            <w:vAlign w:val="center"/>
          </w:tcPr>
          <w:p w14:paraId="270D6681" w14:textId="67042589" w:rsidR="001309A5" w:rsidRPr="00F85B7C" w:rsidRDefault="000236A5" w:rsidP="00DF7C2D">
            <w:pPr>
              <w:spacing w:after="80" w:line="200" w:lineRule="exact"/>
              <w:ind w:firstLine="0"/>
              <w:jc w:val="left"/>
              <w:rPr>
                <w:rFonts w:ascii="Times New Roman" w:hAnsi="Times New Roman" w:cs="Times New Roman"/>
                <w:sz w:val="18"/>
                <w:szCs w:val="18"/>
              </w:rPr>
            </w:pPr>
            <w:r w:rsidRPr="00F85B7C">
              <w:rPr>
                <w:rFonts w:ascii="Times New Roman" w:hAnsi="Times New Roman" w:cs="Times New Roman"/>
                <w:sz w:val="18"/>
                <w:szCs w:val="18"/>
              </w:rPr>
              <w:t>High-density</w:t>
            </w:r>
            <w:r w:rsidR="001309A5" w:rsidRPr="00F85B7C">
              <w:rPr>
                <w:rFonts w:ascii="Times New Roman" w:hAnsi="Times New Roman" w:cs="Times New Roman"/>
                <w:sz w:val="18"/>
                <w:szCs w:val="18"/>
              </w:rPr>
              <w:t xml:space="preserve"> PU </w:t>
            </w:r>
            <w:r w:rsidRPr="00F85B7C">
              <w:rPr>
                <w:rFonts w:ascii="Times New Roman" w:hAnsi="Times New Roman" w:cs="Times New Roman"/>
                <w:sz w:val="18"/>
                <w:szCs w:val="18"/>
              </w:rPr>
              <w:t>foam-filled</w:t>
            </w:r>
            <w:r w:rsidR="001309A5" w:rsidRPr="00F85B7C">
              <w:rPr>
                <w:rFonts w:ascii="Times New Roman" w:hAnsi="Times New Roman" w:cs="Times New Roman"/>
                <w:sz w:val="18"/>
                <w:szCs w:val="18"/>
              </w:rPr>
              <w:t xml:space="preserve"> </w:t>
            </w:r>
            <w:r w:rsidRPr="00F85B7C">
              <w:rPr>
                <w:rFonts w:ascii="Times New Roman" w:hAnsi="Times New Roman" w:cs="Times New Roman"/>
                <w:sz w:val="18"/>
                <w:szCs w:val="18"/>
              </w:rPr>
              <w:t>aluminum</w:t>
            </w:r>
            <w:r w:rsidR="001309A5" w:rsidRPr="00F85B7C">
              <w:rPr>
                <w:rFonts w:ascii="Times New Roman" w:hAnsi="Times New Roman" w:cs="Times New Roman"/>
                <w:sz w:val="18"/>
                <w:szCs w:val="18"/>
              </w:rPr>
              <w:t xml:space="preserve"> circular tubes</w:t>
            </w:r>
            <w:r w:rsidR="002C0CE4">
              <w:rPr>
                <w:rFonts w:ascii="Times New Roman" w:hAnsi="Times New Roman" w:cs="Times New Roman"/>
                <w:sz w:val="18"/>
                <w:szCs w:val="18"/>
              </w:rPr>
              <w:t>.</w:t>
            </w:r>
          </w:p>
        </w:tc>
      </w:tr>
      <w:tr w:rsidR="001309A5" w:rsidRPr="00F85B7C" w14:paraId="0A233E59" w14:textId="77777777" w:rsidTr="002502D3">
        <w:tc>
          <w:tcPr>
            <w:tcW w:w="795" w:type="pct"/>
            <w:tcBorders>
              <w:top w:val="single" w:sz="4" w:space="0" w:color="auto"/>
            </w:tcBorders>
            <w:vAlign w:val="center"/>
          </w:tcPr>
          <w:p w14:paraId="63E73DEA"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40.20</w:t>
            </w:r>
          </w:p>
        </w:tc>
        <w:tc>
          <w:tcPr>
            <w:tcW w:w="530" w:type="pct"/>
            <w:tcBorders>
              <w:top w:val="single" w:sz="4" w:space="0" w:color="auto"/>
            </w:tcBorders>
            <w:vAlign w:val="center"/>
          </w:tcPr>
          <w:p w14:paraId="393F2DFF"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3.32</w:t>
            </w:r>
          </w:p>
        </w:tc>
        <w:tc>
          <w:tcPr>
            <w:tcW w:w="587" w:type="pct"/>
            <w:tcBorders>
              <w:top w:val="single" w:sz="4" w:space="0" w:color="auto"/>
            </w:tcBorders>
            <w:vAlign w:val="center"/>
          </w:tcPr>
          <w:p w14:paraId="47D4705E"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tcBorders>
              <w:top w:val="single" w:sz="4" w:space="0" w:color="auto"/>
            </w:tcBorders>
            <w:vAlign w:val="center"/>
          </w:tcPr>
          <w:p w14:paraId="3BE7B318"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28.27</w:t>
            </w:r>
          </w:p>
        </w:tc>
        <w:tc>
          <w:tcPr>
            <w:tcW w:w="629" w:type="pct"/>
            <w:tcBorders>
              <w:top w:val="single" w:sz="4" w:space="0" w:color="auto"/>
            </w:tcBorders>
            <w:vAlign w:val="center"/>
          </w:tcPr>
          <w:p w14:paraId="42CE7D9B"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30.85</w:t>
            </w:r>
          </w:p>
        </w:tc>
        <w:tc>
          <w:tcPr>
            <w:tcW w:w="753" w:type="pct"/>
            <w:tcBorders>
              <w:top w:val="single" w:sz="4" w:space="0" w:color="auto"/>
            </w:tcBorders>
            <w:vAlign w:val="center"/>
          </w:tcPr>
          <w:p w14:paraId="06B56DA4"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46.77</w:t>
            </w:r>
          </w:p>
        </w:tc>
        <w:tc>
          <w:tcPr>
            <w:tcW w:w="1077" w:type="pct"/>
            <w:tcBorders>
              <w:top w:val="single" w:sz="4" w:space="0" w:color="auto"/>
            </w:tcBorders>
            <w:vAlign w:val="center"/>
          </w:tcPr>
          <w:p w14:paraId="793BE73E"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51.60</w:t>
            </w:r>
          </w:p>
        </w:tc>
      </w:tr>
      <w:tr w:rsidR="001309A5" w:rsidRPr="00F85B7C" w14:paraId="3F0ED2BD" w14:textId="77777777" w:rsidTr="002502D3">
        <w:tc>
          <w:tcPr>
            <w:tcW w:w="795" w:type="pct"/>
            <w:tcBorders>
              <w:bottom w:val="single" w:sz="4" w:space="0" w:color="auto"/>
            </w:tcBorders>
            <w:vAlign w:val="center"/>
          </w:tcPr>
          <w:p w14:paraId="051B8386"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30.15</w:t>
            </w:r>
          </w:p>
        </w:tc>
        <w:tc>
          <w:tcPr>
            <w:tcW w:w="530" w:type="pct"/>
            <w:tcBorders>
              <w:bottom w:val="single" w:sz="4" w:space="0" w:color="auto"/>
            </w:tcBorders>
            <w:vAlign w:val="center"/>
          </w:tcPr>
          <w:p w14:paraId="0B915F16"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3.32</w:t>
            </w:r>
          </w:p>
        </w:tc>
        <w:tc>
          <w:tcPr>
            <w:tcW w:w="587" w:type="pct"/>
            <w:tcBorders>
              <w:bottom w:val="single" w:sz="4" w:space="0" w:color="auto"/>
            </w:tcBorders>
            <w:vAlign w:val="center"/>
          </w:tcPr>
          <w:p w14:paraId="62F97355"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tcBorders>
              <w:bottom w:val="single" w:sz="4" w:space="0" w:color="auto"/>
            </w:tcBorders>
            <w:vAlign w:val="center"/>
          </w:tcPr>
          <w:p w14:paraId="16CA6164"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39.88</w:t>
            </w:r>
          </w:p>
        </w:tc>
        <w:tc>
          <w:tcPr>
            <w:tcW w:w="629" w:type="pct"/>
            <w:tcBorders>
              <w:bottom w:val="single" w:sz="4" w:space="0" w:color="auto"/>
            </w:tcBorders>
            <w:vAlign w:val="center"/>
          </w:tcPr>
          <w:p w14:paraId="6D07072D"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42.46</w:t>
            </w:r>
          </w:p>
        </w:tc>
        <w:tc>
          <w:tcPr>
            <w:tcW w:w="753" w:type="pct"/>
            <w:tcBorders>
              <w:bottom w:val="single" w:sz="4" w:space="0" w:color="auto"/>
            </w:tcBorders>
            <w:vAlign w:val="center"/>
          </w:tcPr>
          <w:p w14:paraId="41AB3EFC"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49.10</w:t>
            </w:r>
          </w:p>
        </w:tc>
        <w:tc>
          <w:tcPr>
            <w:tcW w:w="1077" w:type="pct"/>
            <w:tcBorders>
              <w:bottom w:val="single" w:sz="4" w:space="0" w:color="auto"/>
            </w:tcBorders>
            <w:vAlign w:val="center"/>
          </w:tcPr>
          <w:p w14:paraId="619C2A47"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15.64</w:t>
            </w:r>
          </w:p>
        </w:tc>
      </w:tr>
      <w:tr w:rsidR="001309A5" w:rsidRPr="00F85B7C" w14:paraId="37E51730" w14:textId="77777777" w:rsidTr="00DF7C2D">
        <w:tc>
          <w:tcPr>
            <w:tcW w:w="5000" w:type="pct"/>
            <w:gridSpan w:val="7"/>
            <w:tcBorders>
              <w:top w:val="single" w:sz="4" w:space="0" w:color="auto"/>
              <w:bottom w:val="single" w:sz="4" w:space="0" w:color="auto"/>
            </w:tcBorders>
            <w:vAlign w:val="center"/>
          </w:tcPr>
          <w:p w14:paraId="36B77A8C" w14:textId="13C04906" w:rsidR="001309A5" w:rsidRPr="00F85B7C" w:rsidRDefault="000236A5" w:rsidP="00DF7C2D">
            <w:pPr>
              <w:spacing w:after="80" w:line="200" w:lineRule="exact"/>
              <w:ind w:firstLine="0"/>
              <w:jc w:val="left"/>
              <w:rPr>
                <w:rFonts w:ascii="Times New Roman" w:hAnsi="Times New Roman" w:cs="Times New Roman"/>
                <w:sz w:val="18"/>
                <w:szCs w:val="18"/>
              </w:rPr>
            </w:pPr>
            <w:r w:rsidRPr="00F85B7C">
              <w:rPr>
                <w:rFonts w:ascii="Times New Roman" w:hAnsi="Times New Roman" w:cs="Times New Roman"/>
                <w:sz w:val="18"/>
                <w:szCs w:val="18"/>
              </w:rPr>
              <w:t>High-density</w:t>
            </w:r>
            <w:r w:rsidR="001309A5" w:rsidRPr="00F85B7C">
              <w:rPr>
                <w:rFonts w:ascii="Times New Roman" w:hAnsi="Times New Roman" w:cs="Times New Roman"/>
                <w:sz w:val="18"/>
                <w:szCs w:val="18"/>
              </w:rPr>
              <w:t xml:space="preserve"> PU </w:t>
            </w:r>
            <w:r w:rsidRPr="00F85B7C">
              <w:rPr>
                <w:rFonts w:ascii="Times New Roman" w:hAnsi="Times New Roman" w:cs="Times New Roman"/>
                <w:sz w:val="18"/>
                <w:szCs w:val="18"/>
              </w:rPr>
              <w:t>foam-filled</w:t>
            </w:r>
            <w:r w:rsidR="001309A5" w:rsidRPr="00F85B7C">
              <w:rPr>
                <w:rFonts w:ascii="Times New Roman" w:hAnsi="Times New Roman" w:cs="Times New Roman"/>
                <w:sz w:val="18"/>
                <w:szCs w:val="18"/>
              </w:rPr>
              <w:t xml:space="preserve"> </w:t>
            </w:r>
            <w:r w:rsidR="00E3694D">
              <w:rPr>
                <w:rFonts w:ascii="Times New Roman" w:hAnsi="Times New Roman" w:cs="Times New Roman"/>
                <w:sz w:val="18"/>
                <w:szCs w:val="18"/>
              </w:rPr>
              <w:t>LG</w:t>
            </w:r>
            <w:r w:rsidR="001309A5" w:rsidRPr="00F85B7C">
              <w:rPr>
                <w:rFonts w:ascii="Times New Roman" w:hAnsi="Times New Roman" w:cs="Times New Roman"/>
                <w:sz w:val="18"/>
                <w:szCs w:val="18"/>
              </w:rPr>
              <w:t xml:space="preserve"> steel square tubes</w:t>
            </w:r>
            <w:r w:rsidR="006A0DFD">
              <w:rPr>
                <w:rFonts w:ascii="Times New Roman" w:hAnsi="Times New Roman" w:cs="Times New Roman"/>
                <w:sz w:val="18"/>
                <w:szCs w:val="18"/>
              </w:rPr>
              <w:t>.</w:t>
            </w:r>
          </w:p>
        </w:tc>
      </w:tr>
      <w:tr w:rsidR="001309A5" w:rsidRPr="00F85B7C" w14:paraId="5BEC52D9" w14:textId="77777777" w:rsidTr="002502D3">
        <w:tc>
          <w:tcPr>
            <w:tcW w:w="795" w:type="pct"/>
            <w:tcBorders>
              <w:top w:val="single" w:sz="4" w:space="0" w:color="auto"/>
            </w:tcBorders>
            <w:vAlign w:val="center"/>
          </w:tcPr>
          <w:p w14:paraId="6AB76D78"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125.00</w:t>
            </w:r>
          </w:p>
        </w:tc>
        <w:tc>
          <w:tcPr>
            <w:tcW w:w="530" w:type="pct"/>
            <w:tcBorders>
              <w:top w:val="single" w:sz="4" w:space="0" w:color="auto"/>
            </w:tcBorders>
            <w:vAlign w:val="center"/>
          </w:tcPr>
          <w:p w14:paraId="19EF770D"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587" w:type="pct"/>
            <w:tcBorders>
              <w:top w:val="single" w:sz="4" w:space="0" w:color="auto"/>
            </w:tcBorders>
            <w:vAlign w:val="center"/>
          </w:tcPr>
          <w:p w14:paraId="12B6FB20"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tcBorders>
              <w:top w:val="single" w:sz="4" w:space="0" w:color="auto"/>
            </w:tcBorders>
            <w:vAlign w:val="center"/>
          </w:tcPr>
          <w:p w14:paraId="10CCC675"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19.29</w:t>
            </w:r>
          </w:p>
        </w:tc>
        <w:tc>
          <w:tcPr>
            <w:tcW w:w="629" w:type="pct"/>
            <w:tcBorders>
              <w:top w:val="single" w:sz="4" w:space="0" w:color="auto"/>
            </w:tcBorders>
            <w:vAlign w:val="center"/>
          </w:tcPr>
          <w:p w14:paraId="1AE62317"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21.87</w:t>
            </w:r>
          </w:p>
        </w:tc>
        <w:tc>
          <w:tcPr>
            <w:tcW w:w="753" w:type="pct"/>
            <w:tcBorders>
              <w:top w:val="single" w:sz="4" w:space="0" w:color="auto"/>
            </w:tcBorders>
            <w:vAlign w:val="center"/>
          </w:tcPr>
          <w:p w14:paraId="09DCDFC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32.80</w:t>
            </w:r>
          </w:p>
        </w:tc>
        <w:tc>
          <w:tcPr>
            <w:tcW w:w="1077" w:type="pct"/>
            <w:tcBorders>
              <w:top w:val="single" w:sz="4" w:space="0" w:color="auto"/>
            </w:tcBorders>
            <w:vAlign w:val="center"/>
          </w:tcPr>
          <w:p w14:paraId="7980C401"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49.98</w:t>
            </w:r>
          </w:p>
        </w:tc>
      </w:tr>
      <w:tr w:rsidR="001309A5" w:rsidRPr="00F85B7C" w14:paraId="68229C70" w14:textId="77777777" w:rsidTr="002502D3">
        <w:tc>
          <w:tcPr>
            <w:tcW w:w="795" w:type="pct"/>
            <w:vAlign w:val="center"/>
          </w:tcPr>
          <w:p w14:paraId="14332BAC"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125.00</w:t>
            </w:r>
          </w:p>
        </w:tc>
        <w:tc>
          <w:tcPr>
            <w:tcW w:w="530" w:type="pct"/>
            <w:vAlign w:val="center"/>
          </w:tcPr>
          <w:p w14:paraId="0A1F1AFD"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3.00</w:t>
            </w:r>
          </w:p>
        </w:tc>
        <w:tc>
          <w:tcPr>
            <w:tcW w:w="587" w:type="pct"/>
            <w:vAlign w:val="center"/>
          </w:tcPr>
          <w:p w14:paraId="665B038C"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vAlign w:val="center"/>
          </w:tcPr>
          <w:p w14:paraId="4CA3EF1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18.67</w:t>
            </w:r>
          </w:p>
        </w:tc>
        <w:tc>
          <w:tcPr>
            <w:tcW w:w="629" w:type="pct"/>
            <w:vAlign w:val="center"/>
          </w:tcPr>
          <w:p w14:paraId="48175DE1"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21.25</w:t>
            </w:r>
          </w:p>
        </w:tc>
        <w:tc>
          <w:tcPr>
            <w:tcW w:w="753" w:type="pct"/>
            <w:vAlign w:val="center"/>
          </w:tcPr>
          <w:p w14:paraId="4379607F"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33.53</w:t>
            </w:r>
          </w:p>
        </w:tc>
        <w:tc>
          <w:tcPr>
            <w:tcW w:w="1077" w:type="pct"/>
            <w:vAlign w:val="center"/>
          </w:tcPr>
          <w:p w14:paraId="2277C739"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57.79</w:t>
            </w:r>
          </w:p>
        </w:tc>
      </w:tr>
      <w:tr w:rsidR="001309A5" w:rsidRPr="00F85B7C" w14:paraId="672224C4" w14:textId="77777777" w:rsidTr="002502D3">
        <w:tc>
          <w:tcPr>
            <w:tcW w:w="795" w:type="pct"/>
            <w:vAlign w:val="center"/>
          </w:tcPr>
          <w:p w14:paraId="12D86083"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125.00</w:t>
            </w:r>
          </w:p>
        </w:tc>
        <w:tc>
          <w:tcPr>
            <w:tcW w:w="530" w:type="pct"/>
            <w:vAlign w:val="center"/>
          </w:tcPr>
          <w:p w14:paraId="11FB43AE"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4.00</w:t>
            </w:r>
          </w:p>
        </w:tc>
        <w:tc>
          <w:tcPr>
            <w:tcW w:w="587" w:type="pct"/>
            <w:vAlign w:val="center"/>
          </w:tcPr>
          <w:p w14:paraId="6F6025A0"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vAlign w:val="center"/>
          </w:tcPr>
          <w:p w14:paraId="56906CE6"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23.28</w:t>
            </w:r>
          </w:p>
        </w:tc>
        <w:tc>
          <w:tcPr>
            <w:tcW w:w="629" w:type="pct"/>
            <w:vAlign w:val="center"/>
          </w:tcPr>
          <w:p w14:paraId="7DAEA478"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25.86</w:t>
            </w:r>
          </w:p>
        </w:tc>
        <w:tc>
          <w:tcPr>
            <w:tcW w:w="753" w:type="pct"/>
            <w:vAlign w:val="center"/>
          </w:tcPr>
          <w:p w14:paraId="2FE88588"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45.87</w:t>
            </w:r>
          </w:p>
        </w:tc>
        <w:tc>
          <w:tcPr>
            <w:tcW w:w="1077" w:type="pct"/>
            <w:vAlign w:val="center"/>
          </w:tcPr>
          <w:p w14:paraId="065788A7"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77.38</w:t>
            </w:r>
          </w:p>
        </w:tc>
      </w:tr>
      <w:tr w:rsidR="001309A5" w:rsidRPr="00F85B7C" w14:paraId="45E1E09E" w14:textId="77777777" w:rsidTr="002502D3">
        <w:tc>
          <w:tcPr>
            <w:tcW w:w="795" w:type="pct"/>
            <w:vAlign w:val="center"/>
          </w:tcPr>
          <w:p w14:paraId="23E95297"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100.00</w:t>
            </w:r>
          </w:p>
        </w:tc>
        <w:tc>
          <w:tcPr>
            <w:tcW w:w="530" w:type="pct"/>
            <w:vAlign w:val="center"/>
          </w:tcPr>
          <w:p w14:paraId="49122719"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587" w:type="pct"/>
            <w:vAlign w:val="center"/>
          </w:tcPr>
          <w:p w14:paraId="5872C56B"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vAlign w:val="center"/>
          </w:tcPr>
          <w:p w14:paraId="460C83D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29.92</w:t>
            </w:r>
          </w:p>
        </w:tc>
        <w:tc>
          <w:tcPr>
            <w:tcW w:w="629" w:type="pct"/>
            <w:vAlign w:val="center"/>
          </w:tcPr>
          <w:p w14:paraId="6929E2FB"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32.49</w:t>
            </w:r>
          </w:p>
        </w:tc>
        <w:tc>
          <w:tcPr>
            <w:tcW w:w="753" w:type="pct"/>
            <w:vAlign w:val="center"/>
          </w:tcPr>
          <w:p w14:paraId="06F5B345"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44.05</w:t>
            </w:r>
          </w:p>
        </w:tc>
        <w:tc>
          <w:tcPr>
            <w:tcW w:w="1077" w:type="pct"/>
            <w:vAlign w:val="center"/>
          </w:tcPr>
          <w:p w14:paraId="1AEB09C1"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35.58</w:t>
            </w:r>
          </w:p>
        </w:tc>
      </w:tr>
      <w:tr w:rsidR="001309A5" w:rsidRPr="00F85B7C" w14:paraId="36D6FC83" w14:textId="77777777" w:rsidTr="002502D3">
        <w:tc>
          <w:tcPr>
            <w:tcW w:w="795" w:type="pct"/>
            <w:vAlign w:val="center"/>
          </w:tcPr>
          <w:p w14:paraId="0572ED63"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100.00</w:t>
            </w:r>
          </w:p>
        </w:tc>
        <w:tc>
          <w:tcPr>
            <w:tcW w:w="530" w:type="pct"/>
            <w:vAlign w:val="center"/>
          </w:tcPr>
          <w:p w14:paraId="2509963B"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3.00</w:t>
            </w:r>
          </w:p>
        </w:tc>
        <w:tc>
          <w:tcPr>
            <w:tcW w:w="587" w:type="pct"/>
            <w:vAlign w:val="center"/>
          </w:tcPr>
          <w:p w14:paraId="7BD50FCD"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vAlign w:val="center"/>
          </w:tcPr>
          <w:p w14:paraId="37CC186B"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34.60</w:t>
            </w:r>
          </w:p>
        </w:tc>
        <w:tc>
          <w:tcPr>
            <w:tcW w:w="629" w:type="pct"/>
            <w:vAlign w:val="center"/>
          </w:tcPr>
          <w:p w14:paraId="2BD19EE8"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37.18</w:t>
            </w:r>
          </w:p>
        </w:tc>
        <w:tc>
          <w:tcPr>
            <w:tcW w:w="753" w:type="pct"/>
            <w:vAlign w:val="center"/>
          </w:tcPr>
          <w:p w14:paraId="23CA028C"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48.58</w:t>
            </w:r>
          </w:p>
        </w:tc>
        <w:tc>
          <w:tcPr>
            <w:tcW w:w="1077" w:type="pct"/>
            <w:vAlign w:val="center"/>
          </w:tcPr>
          <w:p w14:paraId="17D08DA7"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30.66</w:t>
            </w:r>
          </w:p>
        </w:tc>
      </w:tr>
      <w:tr w:rsidR="001309A5" w:rsidRPr="00F85B7C" w14:paraId="4166A13C" w14:textId="77777777" w:rsidTr="002502D3">
        <w:tc>
          <w:tcPr>
            <w:tcW w:w="795" w:type="pct"/>
            <w:vAlign w:val="center"/>
          </w:tcPr>
          <w:p w14:paraId="70A1F3F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100.00</w:t>
            </w:r>
          </w:p>
        </w:tc>
        <w:tc>
          <w:tcPr>
            <w:tcW w:w="530" w:type="pct"/>
            <w:vAlign w:val="center"/>
          </w:tcPr>
          <w:p w14:paraId="10187A43"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4.00</w:t>
            </w:r>
          </w:p>
        </w:tc>
        <w:tc>
          <w:tcPr>
            <w:tcW w:w="587" w:type="pct"/>
            <w:vAlign w:val="center"/>
          </w:tcPr>
          <w:p w14:paraId="16170CD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vAlign w:val="center"/>
          </w:tcPr>
          <w:p w14:paraId="0D539BC6"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35.00</w:t>
            </w:r>
          </w:p>
        </w:tc>
        <w:tc>
          <w:tcPr>
            <w:tcW w:w="629" w:type="pct"/>
            <w:vAlign w:val="center"/>
          </w:tcPr>
          <w:p w14:paraId="5B8BB958"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37.58</w:t>
            </w:r>
          </w:p>
        </w:tc>
        <w:tc>
          <w:tcPr>
            <w:tcW w:w="753" w:type="pct"/>
            <w:vAlign w:val="center"/>
          </w:tcPr>
          <w:p w14:paraId="1A524A93"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49.04</w:t>
            </w:r>
          </w:p>
        </w:tc>
        <w:tc>
          <w:tcPr>
            <w:tcW w:w="1077" w:type="pct"/>
            <w:vAlign w:val="center"/>
          </w:tcPr>
          <w:p w14:paraId="6203A891"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30.49</w:t>
            </w:r>
          </w:p>
        </w:tc>
      </w:tr>
      <w:tr w:rsidR="001309A5" w:rsidRPr="00F85B7C" w14:paraId="0F06D7F2" w14:textId="77777777" w:rsidTr="002502D3">
        <w:tc>
          <w:tcPr>
            <w:tcW w:w="795" w:type="pct"/>
            <w:vAlign w:val="center"/>
          </w:tcPr>
          <w:p w14:paraId="19445D7B"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83.33</w:t>
            </w:r>
          </w:p>
        </w:tc>
        <w:tc>
          <w:tcPr>
            <w:tcW w:w="530" w:type="pct"/>
            <w:vAlign w:val="center"/>
          </w:tcPr>
          <w:p w14:paraId="6EC2F3A0"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587" w:type="pct"/>
            <w:vAlign w:val="center"/>
          </w:tcPr>
          <w:p w14:paraId="480926F4"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vAlign w:val="center"/>
          </w:tcPr>
          <w:p w14:paraId="222832CA"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36.37</w:t>
            </w:r>
          </w:p>
        </w:tc>
        <w:tc>
          <w:tcPr>
            <w:tcW w:w="629" w:type="pct"/>
            <w:vAlign w:val="center"/>
          </w:tcPr>
          <w:p w14:paraId="7B31222E"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38.95</w:t>
            </w:r>
          </w:p>
        </w:tc>
        <w:tc>
          <w:tcPr>
            <w:tcW w:w="753" w:type="pct"/>
            <w:vAlign w:val="center"/>
          </w:tcPr>
          <w:p w14:paraId="26F944C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54.51</w:t>
            </w:r>
          </w:p>
        </w:tc>
        <w:tc>
          <w:tcPr>
            <w:tcW w:w="1077" w:type="pct"/>
            <w:vAlign w:val="center"/>
          </w:tcPr>
          <w:p w14:paraId="43CF9EAB"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39.95</w:t>
            </w:r>
          </w:p>
        </w:tc>
      </w:tr>
      <w:tr w:rsidR="001309A5" w:rsidRPr="00F85B7C" w14:paraId="144D8BA9" w14:textId="77777777" w:rsidTr="002502D3">
        <w:tc>
          <w:tcPr>
            <w:tcW w:w="795" w:type="pct"/>
            <w:vAlign w:val="center"/>
          </w:tcPr>
          <w:p w14:paraId="14971FE1"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83.33</w:t>
            </w:r>
          </w:p>
        </w:tc>
        <w:tc>
          <w:tcPr>
            <w:tcW w:w="530" w:type="pct"/>
            <w:vAlign w:val="center"/>
          </w:tcPr>
          <w:p w14:paraId="04AEC0BA"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3.00</w:t>
            </w:r>
          </w:p>
        </w:tc>
        <w:tc>
          <w:tcPr>
            <w:tcW w:w="587" w:type="pct"/>
            <w:vAlign w:val="center"/>
          </w:tcPr>
          <w:p w14:paraId="3F2445B6"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vAlign w:val="center"/>
          </w:tcPr>
          <w:p w14:paraId="6D931C0C"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39.50</w:t>
            </w:r>
          </w:p>
        </w:tc>
        <w:tc>
          <w:tcPr>
            <w:tcW w:w="629" w:type="pct"/>
            <w:vAlign w:val="center"/>
          </w:tcPr>
          <w:p w14:paraId="3FA7FCC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42.08</w:t>
            </w:r>
          </w:p>
        </w:tc>
        <w:tc>
          <w:tcPr>
            <w:tcW w:w="753" w:type="pct"/>
            <w:vAlign w:val="center"/>
          </w:tcPr>
          <w:p w14:paraId="2A9876D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61.45</w:t>
            </w:r>
          </w:p>
        </w:tc>
        <w:tc>
          <w:tcPr>
            <w:tcW w:w="1077" w:type="pct"/>
            <w:vAlign w:val="center"/>
          </w:tcPr>
          <w:p w14:paraId="36130FAF"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46.03</w:t>
            </w:r>
          </w:p>
        </w:tc>
      </w:tr>
      <w:tr w:rsidR="001309A5" w:rsidRPr="00F85B7C" w14:paraId="25757640" w14:textId="77777777" w:rsidTr="002502D3">
        <w:tc>
          <w:tcPr>
            <w:tcW w:w="795" w:type="pct"/>
            <w:tcBorders>
              <w:bottom w:val="single" w:sz="8" w:space="0" w:color="auto"/>
            </w:tcBorders>
            <w:vAlign w:val="center"/>
          </w:tcPr>
          <w:p w14:paraId="7DF39920"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83.33</w:t>
            </w:r>
          </w:p>
        </w:tc>
        <w:tc>
          <w:tcPr>
            <w:tcW w:w="530" w:type="pct"/>
            <w:tcBorders>
              <w:bottom w:val="single" w:sz="8" w:space="0" w:color="auto"/>
            </w:tcBorders>
            <w:vAlign w:val="center"/>
          </w:tcPr>
          <w:p w14:paraId="05464C73"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4.00</w:t>
            </w:r>
          </w:p>
        </w:tc>
        <w:tc>
          <w:tcPr>
            <w:tcW w:w="587" w:type="pct"/>
            <w:tcBorders>
              <w:bottom w:val="single" w:sz="8" w:space="0" w:color="auto"/>
            </w:tcBorders>
            <w:vAlign w:val="center"/>
          </w:tcPr>
          <w:p w14:paraId="74EF99F0"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2.58</w:t>
            </w:r>
          </w:p>
        </w:tc>
        <w:tc>
          <w:tcPr>
            <w:tcW w:w="629" w:type="pct"/>
            <w:tcBorders>
              <w:bottom w:val="single" w:sz="8" w:space="0" w:color="auto"/>
            </w:tcBorders>
            <w:vAlign w:val="center"/>
          </w:tcPr>
          <w:p w14:paraId="26F174F0"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39.88</w:t>
            </w:r>
          </w:p>
        </w:tc>
        <w:tc>
          <w:tcPr>
            <w:tcW w:w="629" w:type="pct"/>
            <w:tcBorders>
              <w:bottom w:val="single" w:sz="8" w:space="0" w:color="auto"/>
            </w:tcBorders>
            <w:vAlign w:val="center"/>
          </w:tcPr>
          <w:p w14:paraId="181FF2A2"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42.46</w:t>
            </w:r>
          </w:p>
        </w:tc>
        <w:tc>
          <w:tcPr>
            <w:tcW w:w="753" w:type="pct"/>
            <w:tcBorders>
              <w:bottom w:val="single" w:sz="8" w:space="0" w:color="auto"/>
            </w:tcBorders>
            <w:vAlign w:val="center"/>
          </w:tcPr>
          <w:p w14:paraId="1CABE35B"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71.68</w:t>
            </w:r>
          </w:p>
        </w:tc>
        <w:tc>
          <w:tcPr>
            <w:tcW w:w="1077" w:type="pct"/>
            <w:tcBorders>
              <w:bottom w:val="single" w:sz="8" w:space="0" w:color="auto"/>
            </w:tcBorders>
            <w:vAlign w:val="center"/>
          </w:tcPr>
          <w:p w14:paraId="093DDDDF" w14:textId="77777777" w:rsidR="001309A5" w:rsidRPr="00F85B7C" w:rsidRDefault="001309A5" w:rsidP="00DF7C2D">
            <w:pPr>
              <w:spacing w:after="80" w:line="200" w:lineRule="exact"/>
              <w:ind w:firstLine="0"/>
              <w:jc w:val="center"/>
              <w:rPr>
                <w:rFonts w:ascii="Times New Roman" w:hAnsi="Times New Roman" w:cs="Times New Roman"/>
                <w:sz w:val="18"/>
                <w:szCs w:val="18"/>
              </w:rPr>
            </w:pPr>
            <w:r w:rsidRPr="00F85B7C">
              <w:rPr>
                <w:rFonts w:ascii="Times New Roman" w:hAnsi="Times New Roman" w:cs="Times New Roman"/>
                <w:sz w:val="18"/>
                <w:szCs w:val="18"/>
              </w:rPr>
              <w:t>68.82</w:t>
            </w:r>
          </w:p>
        </w:tc>
      </w:tr>
    </w:tbl>
    <w:p w14:paraId="26463E9B" w14:textId="77777777" w:rsidR="001309A5" w:rsidRDefault="001309A5" w:rsidP="001309A5"/>
    <w:p w14:paraId="6FDC937A" w14:textId="1672BFE3" w:rsidR="001309A5" w:rsidRPr="001309A5" w:rsidRDefault="001309A5" w:rsidP="001309A5">
      <w:pPr>
        <w:ind w:firstLine="0"/>
      </w:pPr>
      <w:r w:rsidRPr="001309A5">
        <w:t xml:space="preserve">Despite the promising results from previous studies, which highlight significant strength enhancements due to the composite action of high-density PU foam-filled </w:t>
      </w:r>
      <w:r w:rsidRPr="001309A5">
        <w:lastRenderedPageBreak/>
        <w:t xml:space="preserve">tubes over the combined load-carrying capacities of empty tubes and foam alone, further investigation is carried </w:t>
      </w:r>
      <w:r w:rsidR="000236A5">
        <w:t xml:space="preserve">out </w:t>
      </w:r>
      <w:r w:rsidRPr="001309A5">
        <w:t xml:space="preserve">into the bonding effects between high-density PU foam and </w:t>
      </w:r>
      <w:r w:rsidR="00E3694D">
        <w:t>LG</w:t>
      </w:r>
      <w:r w:rsidRPr="001309A5">
        <w:t xml:space="preserve"> steel </w:t>
      </w:r>
      <w:r w:rsidR="003614E8">
        <w:t>as well as</w:t>
      </w:r>
      <w:r w:rsidRPr="001309A5">
        <w:t xml:space="preserve"> </w:t>
      </w:r>
      <w:r w:rsidR="000236A5">
        <w:t>aluminum</w:t>
      </w:r>
      <w:r w:rsidRPr="001309A5">
        <w:t>. The bond strength significantly affects energy absorption, delays local buckling, and enhances the overall structural performance of composite members. Th</w:t>
      </w:r>
      <w:r w:rsidR="00E3694D">
        <w:t>us</w:t>
      </w:r>
      <w:r w:rsidRPr="001309A5">
        <w:t>, t</w:t>
      </w:r>
      <w:r w:rsidR="00E3694D">
        <w:t>he</w:t>
      </w:r>
      <w:r w:rsidRPr="001309A5">
        <w:t xml:space="preserve"> study aims to provide a </w:t>
      </w:r>
      <w:r w:rsidR="00E3694D" w:rsidRPr="001309A5">
        <w:t xml:space="preserve">comprehensive </w:t>
      </w:r>
      <w:r w:rsidR="00E3694D">
        <w:t xml:space="preserve">insight </w:t>
      </w:r>
      <w:r w:rsidR="002C0CE4">
        <w:t>int</w:t>
      </w:r>
      <w:r w:rsidR="00E3694D">
        <w:t>o the bond characteristics</w:t>
      </w:r>
      <w:r w:rsidRPr="001309A5">
        <w:t xml:space="preserve"> between high-density PU foam and metal tubes and their impact on the structural </w:t>
      </w:r>
      <w:r w:rsidR="000236A5">
        <w:t>behavior</w:t>
      </w:r>
      <w:r w:rsidRPr="001309A5">
        <w:t xml:space="preserve"> of composite sections</w:t>
      </w:r>
      <w:r w:rsidR="00263EA8">
        <w:t>.</w:t>
      </w:r>
      <w:r w:rsidR="00E17D17">
        <w:t xml:space="preserve"> </w:t>
      </w:r>
      <w:r w:rsidR="00547228" w:rsidRPr="00547228">
        <w:t>This research signifies the potential of high-density polyurethane (PU) foam as a sustainable infill material for aluminum and light gauge (LG) steel tubes by demonstrating how triaxial confinement and foam-to-metal bonding enhance both compressive and flexural strengths. The study validates the composite behavior of confined PU foam within tubes, contributing to sustainable construction practices for lightweight infrastructure.</w:t>
      </w:r>
    </w:p>
    <w:p w14:paraId="7C12A0FC" w14:textId="77777777" w:rsidR="001309A5" w:rsidRDefault="001309A5" w:rsidP="001309A5">
      <w:pPr>
        <w:pStyle w:val="heading1"/>
      </w:pPr>
      <w:r>
        <w:t>Test Specimens</w:t>
      </w:r>
    </w:p>
    <w:p w14:paraId="71B6D283" w14:textId="77777777" w:rsidR="001309A5" w:rsidRDefault="001309A5" w:rsidP="001309A5">
      <w:pPr>
        <w:pStyle w:val="heading2"/>
        <w:spacing w:before="0"/>
      </w:pPr>
      <w:r>
        <w:t>Material Properties</w:t>
      </w:r>
    </w:p>
    <w:p w14:paraId="0DB6EC3F" w14:textId="1854A9E5" w:rsidR="001309A5" w:rsidRPr="001309A5" w:rsidRDefault="001309A5" w:rsidP="001309A5">
      <w:pPr>
        <w:pStyle w:val="p1a"/>
      </w:pPr>
      <w:r w:rsidRPr="001309A5">
        <w:t xml:space="preserve">The mechanical properties of the materials utilized in this study, namely </w:t>
      </w:r>
      <w:r w:rsidR="000236A5">
        <w:t>aluminum</w:t>
      </w:r>
      <w:r w:rsidRPr="001309A5">
        <w:t xml:space="preserve">, galvanized </w:t>
      </w:r>
      <w:r w:rsidR="00972165">
        <w:t>LG</w:t>
      </w:r>
      <w:r w:rsidRPr="001309A5">
        <w:t xml:space="preserve"> steel, and polyurethane (PU) foam, were thoroughly assessed to ensure accurate characterization. The selection of material grades adhered strictly to industry standards and guidelines. </w:t>
      </w:r>
      <w:r w:rsidR="000236A5">
        <w:t>Aluminum</w:t>
      </w:r>
      <w:r w:rsidRPr="001309A5">
        <w:t xml:space="preserve"> samples, following the ASTM A6061-T6 specification, are 3.2 mm thick and underwent tensile coupon testing in a 60-ton capacity Universal Testing Machine (UTM) at 78.8°F according to The </w:t>
      </w:r>
      <w:r w:rsidR="003327D7" w:rsidRPr="001309A5">
        <w:t>Aluminum</w:t>
      </w:r>
      <w:r w:rsidRPr="001309A5">
        <w:t xml:space="preserve"> Association Structural Design standards. </w:t>
      </w:r>
    </w:p>
    <w:p w14:paraId="3D91DBB8" w14:textId="7CE465B7" w:rsidR="001309A5" w:rsidRPr="007835E7" w:rsidRDefault="001309A5" w:rsidP="001309A5">
      <w:r w:rsidRPr="00DB4C76">
        <w:t xml:space="preserve">High-strength </w:t>
      </w:r>
      <w:r w:rsidRPr="007835E7">
        <w:t>cold-formed steel, produced through rolling, pressing, stamping, and bending at room temperature, conforms to ASTM A570 specifications. Galvanized Cold Rolled Steel, meeting ASTM A 653/653M-07 [</w:t>
      </w:r>
      <w:r w:rsidR="003327D7">
        <w:t>1</w:t>
      </w:r>
      <w:r w:rsidRPr="007835E7">
        <w:t>3] Grade 340 Class 1 standards, was also coupon tested for mechanical properties using ASTM A370 procedures [</w:t>
      </w:r>
      <w:r w:rsidR="003327D7">
        <w:t>1</w:t>
      </w:r>
      <w:r w:rsidRPr="007835E7">
        <w:t>4].</w:t>
      </w:r>
    </w:p>
    <w:p w14:paraId="6157B9AC" w14:textId="0313AA71" w:rsidR="001309A5" w:rsidRDefault="001309A5" w:rsidP="002502D3">
      <w:r w:rsidRPr="007835E7">
        <w:t>PU foam, selected for its density of 150 kg/m³ and excellent energy absorption capabilities, underwent mechanical testing. This included uniaxial compression tests on foam cubes (refer Sec 3.1) and tensile coupon test (refer Fig. 1) according to ASTM D1621 [</w:t>
      </w:r>
      <w:r w:rsidR="003327D7">
        <w:t>1</w:t>
      </w:r>
      <w:r w:rsidRPr="007835E7">
        <w:t>5] and ASTM D3574 [</w:t>
      </w:r>
      <w:r w:rsidR="003327D7">
        <w:t>1</w:t>
      </w:r>
      <w:r w:rsidRPr="007835E7">
        <w:t>6], respectively. The mechanical properties of the 150 kg/m³ PU foam are comparable to M1</w:t>
      </w:r>
      <w:r>
        <w:t>4</w:t>
      </w:r>
      <w:r w:rsidRPr="007835E7">
        <w:t xml:space="preserve"> grade concrete. Detailed material properties are summarized in Table </w:t>
      </w:r>
      <w:r>
        <w:t>2</w:t>
      </w:r>
      <w:r w:rsidRPr="007835E7">
        <w:t>.</w:t>
      </w:r>
    </w:p>
    <w:p w14:paraId="552AA0E9" w14:textId="5F6BE023" w:rsidR="003F6F37" w:rsidRDefault="003F6F37" w:rsidP="003F6F37">
      <w:pPr>
        <w:ind w:firstLine="0"/>
      </w:pPr>
    </w:p>
    <w:p w14:paraId="48828238" w14:textId="50E2966A" w:rsidR="003F6F37" w:rsidRPr="007835E7" w:rsidRDefault="003F6F37" w:rsidP="003F6F37">
      <w:pPr>
        <w:ind w:firstLine="0"/>
        <w:jc w:val="center"/>
      </w:pPr>
      <w:r w:rsidRPr="003F6F37">
        <w:rPr>
          <w:noProof/>
        </w:rPr>
        <w:lastRenderedPageBreak/>
        <w:drawing>
          <wp:inline distT="0" distB="0" distL="0" distR="0" wp14:anchorId="55C38B57" wp14:editId="1858BC66">
            <wp:extent cx="4623050" cy="1828800"/>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23050" cy="1828800"/>
                    </a:xfrm>
                    <a:prstGeom prst="rect">
                      <a:avLst/>
                    </a:prstGeom>
                    <a:noFill/>
                    <a:ln>
                      <a:noFill/>
                    </a:ln>
                  </pic:spPr>
                </pic:pic>
              </a:graphicData>
            </a:graphic>
          </wp:inline>
        </w:drawing>
      </w:r>
    </w:p>
    <w:p w14:paraId="119EC2FB" w14:textId="4CF5CB8A" w:rsidR="001309A5" w:rsidRPr="00DB7E4A" w:rsidRDefault="001309A5" w:rsidP="001309A5">
      <w:pPr>
        <w:pStyle w:val="figurecaption"/>
        <w:jc w:val="both"/>
      </w:pPr>
      <w:r>
        <w:rPr>
          <w:b/>
        </w:rPr>
        <w:t xml:space="preserve">Fig. </w:t>
      </w:r>
      <w:r>
        <w:rPr>
          <w:b/>
        </w:rPr>
        <w:fldChar w:fldCharType="begin"/>
      </w:r>
      <w:r>
        <w:rPr>
          <w:b/>
        </w:rPr>
        <w:instrText xml:space="preserve"> SEQ "Figure" \* MERGEFORMAT </w:instrText>
      </w:r>
      <w:r>
        <w:rPr>
          <w:b/>
        </w:rPr>
        <w:fldChar w:fldCharType="separate"/>
      </w:r>
      <w:r w:rsidR="00CD609F">
        <w:rPr>
          <w:b/>
          <w:noProof/>
        </w:rPr>
        <w:t>1</w:t>
      </w:r>
      <w:r>
        <w:rPr>
          <w:b/>
        </w:rPr>
        <w:fldChar w:fldCharType="end"/>
      </w:r>
      <w:r>
        <w:rPr>
          <w:b/>
        </w:rPr>
        <w:t>.</w:t>
      </w:r>
      <w:r>
        <w:t xml:space="preserve"> </w:t>
      </w:r>
      <w:r w:rsidRPr="001309A5">
        <w:t>(a)</w:t>
      </w:r>
      <w:r w:rsidRPr="00DB7E4A">
        <w:t xml:space="preserve"> Tensile Coupon Test Setup for </w:t>
      </w:r>
      <w:r>
        <w:rPr>
          <w:szCs w:val="18"/>
        </w:rPr>
        <w:t xml:space="preserve">high-density </w:t>
      </w:r>
      <w:r w:rsidRPr="00DB7E4A">
        <w:t>PU Foam (density: 150 kg/m³), and (b) Axial Tension Stress vs. Strain Behaviour.</w:t>
      </w:r>
    </w:p>
    <w:p w14:paraId="12AAD7B3" w14:textId="4A81C1E7" w:rsidR="001309A5" w:rsidRPr="00DB4C76" w:rsidRDefault="001309A5" w:rsidP="001309A5">
      <w:pPr>
        <w:pStyle w:val="tablecaption"/>
      </w:pPr>
      <w:r>
        <w:rPr>
          <w:b/>
        </w:rPr>
        <w:t xml:space="preserve">Table </w:t>
      </w:r>
      <w:r>
        <w:rPr>
          <w:b/>
        </w:rPr>
        <w:fldChar w:fldCharType="begin"/>
      </w:r>
      <w:r>
        <w:rPr>
          <w:b/>
        </w:rPr>
        <w:instrText xml:space="preserve"> SEQ "Table" \* MERGEFORMAT </w:instrText>
      </w:r>
      <w:r>
        <w:rPr>
          <w:b/>
        </w:rPr>
        <w:fldChar w:fldCharType="separate"/>
      </w:r>
      <w:r w:rsidR="00CD609F">
        <w:rPr>
          <w:b/>
          <w:noProof/>
        </w:rPr>
        <w:t>2</w:t>
      </w:r>
      <w:r>
        <w:rPr>
          <w:b/>
        </w:rPr>
        <w:fldChar w:fldCharType="end"/>
      </w:r>
      <w:r>
        <w:rPr>
          <w:b/>
        </w:rPr>
        <w:t>.</w:t>
      </w:r>
      <w:r>
        <w:t xml:space="preserve"> </w:t>
      </w:r>
      <w:r w:rsidRPr="001309A5">
        <w:t>Material</w:t>
      </w:r>
      <w:r w:rsidRPr="00DB4C76">
        <w:t xml:space="preserve"> Properties</w:t>
      </w:r>
      <w:r>
        <w:t xml:space="preserve"> </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2"/>
        <w:gridCol w:w="823"/>
        <w:gridCol w:w="898"/>
        <w:gridCol w:w="898"/>
        <w:gridCol w:w="1010"/>
        <w:gridCol w:w="945"/>
        <w:gridCol w:w="1072"/>
      </w:tblGrid>
      <w:tr w:rsidR="001309A5" w:rsidRPr="00F85B7C" w14:paraId="415AE167" w14:textId="77777777" w:rsidTr="00DF7C2D">
        <w:trPr>
          <w:jc w:val="center"/>
        </w:trPr>
        <w:tc>
          <w:tcPr>
            <w:tcW w:w="919" w:type="pct"/>
            <w:tcBorders>
              <w:top w:val="single" w:sz="12" w:space="0" w:color="auto"/>
              <w:bottom w:val="single" w:sz="4" w:space="0" w:color="auto"/>
            </w:tcBorders>
            <w:vAlign w:val="center"/>
          </w:tcPr>
          <w:p w14:paraId="3F21B090"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Material</w:t>
            </w:r>
          </w:p>
        </w:tc>
        <w:tc>
          <w:tcPr>
            <w:tcW w:w="595" w:type="pct"/>
            <w:tcBorders>
              <w:top w:val="single" w:sz="12" w:space="0" w:color="auto"/>
              <w:bottom w:val="single" w:sz="4" w:space="0" w:color="auto"/>
            </w:tcBorders>
            <w:vAlign w:val="center"/>
          </w:tcPr>
          <w:p w14:paraId="0A7F698B"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Density</w:t>
            </w:r>
          </w:p>
        </w:tc>
        <w:tc>
          <w:tcPr>
            <w:tcW w:w="649" w:type="pct"/>
            <w:tcBorders>
              <w:top w:val="single" w:sz="12" w:space="0" w:color="auto"/>
              <w:bottom w:val="single" w:sz="4" w:space="0" w:color="auto"/>
            </w:tcBorders>
            <w:vAlign w:val="center"/>
          </w:tcPr>
          <w:p w14:paraId="5500BC2E"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Yield Strength</w:t>
            </w:r>
          </w:p>
        </w:tc>
        <w:tc>
          <w:tcPr>
            <w:tcW w:w="649" w:type="pct"/>
            <w:tcBorders>
              <w:top w:val="single" w:sz="12" w:space="0" w:color="auto"/>
              <w:bottom w:val="single" w:sz="4" w:space="0" w:color="auto"/>
            </w:tcBorders>
            <w:vAlign w:val="center"/>
          </w:tcPr>
          <w:p w14:paraId="184023E1"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Ultimate Strength</w:t>
            </w:r>
          </w:p>
        </w:tc>
        <w:tc>
          <w:tcPr>
            <w:tcW w:w="730" w:type="pct"/>
            <w:tcBorders>
              <w:top w:val="single" w:sz="12" w:space="0" w:color="auto"/>
              <w:bottom w:val="single" w:sz="4" w:space="0" w:color="auto"/>
            </w:tcBorders>
            <w:vAlign w:val="center"/>
          </w:tcPr>
          <w:p w14:paraId="6FAD292E"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Elasticity Modulus</w:t>
            </w:r>
          </w:p>
        </w:tc>
        <w:tc>
          <w:tcPr>
            <w:tcW w:w="683" w:type="pct"/>
            <w:tcBorders>
              <w:top w:val="single" w:sz="12" w:space="0" w:color="auto"/>
              <w:bottom w:val="single" w:sz="4" w:space="0" w:color="auto"/>
            </w:tcBorders>
            <w:vAlign w:val="center"/>
          </w:tcPr>
          <w:p w14:paraId="6111BDA0"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Poisson’s ratio</w:t>
            </w:r>
          </w:p>
        </w:tc>
        <w:tc>
          <w:tcPr>
            <w:tcW w:w="775" w:type="pct"/>
            <w:tcBorders>
              <w:top w:val="single" w:sz="12" w:space="0" w:color="auto"/>
              <w:bottom w:val="single" w:sz="4" w:space="0" w:color="auto"/>
            </w:tcBorders>
            <w:vAlign w:val="center"/>
          </w:tcPr>
          <w:p w14:paraId="00A47CF8"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Elongation</w:t>
            </w:r>
          </w:p>
        </w:tc>
      </w:tr>
      <w:tr w:rsidR="001309A5" w:rsidRPr="00F85B7C" w14:paraId="4EE5D8EA" w14:textId="77777777" w:rsidTr="00DF7C2D">
        <w:trPr>
          <w:jc w:val="center"/>
        </w:trPr>
        <w:tc>
          <w:tcPr>
            <w:tcW w:w="919" w:type="pct"/>
            <w:tcBorders>
              <w:top w:val="single" w:sz="4" w:space="0" w:color="auto"/>
              <w:bottom w:val="single" w:sz="4" w:space="0" w:color="auto"/>
            </w:tcBorders>
            <w:vAlign w:val="center"/>
          </w:tcPr>
          <w:p w14:paraId="568605CF" w14:textId="77777777" w:rsidR="001309A5" w:rsidRPr="00F85B7C" w:rsidRDefault="001309A5" w:rsidP="00DF7C2D">
            <w:pPr>
              <w:pStyle w:val="table"/>
              <w:jc w:val="center"/>
              <w:rPr>
                <w:rFonts w:ascii="Times New Roman" w:hAnsi="Times New Roman" w:cs="Times New Roman"/>
                <w:sz w:val="18"/>
                <w:szCs w:val="18"/>
              </w:rPr>
            </w:pPr>
          </w:p>
        </w:tc>
        <w:tc>
          <w:tcPr>
            <w:tcW w:w="595" w:type="pct"/>
            <w:tcBorders>
              <w:top w:val="single" w:sz="4" w:space="0" w:color="auto"/>
              <w:bottom w:val="single" w:sz="4" w:space="0" w:color="auto"/>
            </w:tcBorders>
            <w:vAlign w:val="center"/>
          </w:tcPr>
          <w:p w14:paraId="6E99AFE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(kg/m</w:t>
            </w:r>
            <w:r w:rsidRPr="00F85B7C">
              <w:rPr>
                <w:rFonts w:ascii="Times New Roman" w:hAnsi="Times New Roman" w:cs="Times New Roman"/>
                <w:sz w:val="18"/>
                <w:szCs w:val="18"/>
                <w:vertAlign w:val="superscript"/>
              </w:rPr>
              <w:t>3</w:t>
            </w:r>
            <w:r w:rsidRPr="00F85B7C">
              <w:rPr>
                <w:rFonts w:ascii="Times New Roman" w:hAnsi="Times New Roman" w:cs="Times New Roman"/>
                <w:sz w:val="18"/>
                <w:szCs w:val="18"/>
              </w:rPr>
              <w:t>)</w:t>
            </w:r>
          </w:p>
        </w:tc>
        <w:tc>
          <w:tcPr>
            <w:tcW w:w="649" w:type="pct"/>
            <w:tcBorders>
              <w:top w:val="single" w:sz="4" w:space="0" w:color="auto"/>
              <w:bottom w:val="single" w:sz="4" w:space="0" w:color="auto"/>
            </w:tcBorders>
            <w:vAlign w:val="center"/>
          </w:tcPr>
          <w:p w14:paraId="18FD8191"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649" w:type="pct"/>
            <w:tcBorders>
              <w:top w:val="single" w:sz="4" w:space="0" w:color="auto"/>
              <w:bottom w:val="single" w:sz="4" w:space="0" w:color="auto"/>
            </w:tcBorders>
            <w:vAlign w:val="center"/>
          </w:tcPr>
          <w:p w14:paraId="506052F2"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730" w:type="pct"/>
            <w:tcBorders>
              <w:top w:val="single" w:sz="4" w:space="0" w:color="auto"/>
              <w:bottom w:val="single" w:sz="4" w:space="0" w:color="auto"/>
            </w:tcBorders>
            <w:vAlign w:val="center"/>
          </w:tcPr>
          <w:p w14:paraId="1A5ADB64"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(MPa)</w:t>
            </w:r>
          </w:p>
        </w:tc>
        <w:tc>
          <w:tcPr>
            <w:tcW w:w="683" w:type="pct"/>
            <w:tcBorders>
              <w:top w:val="single" w:sz="4" w:space="0" w:color="auto"/>
              <w:bottom w:val="single" w:sz="4" w:space="0" w:color="auto"/>
            </w:tcBorders>
            <w:vAlign w:val="center"/>
          </w:tcPr>
          <w:p w14:paraId="2A9F5E20" w14:textId="77777777" w:rsidR="001309A5" w:rsidRPr="00F85B7C" w:rsidRDefault="001309A5" w:rsidP="00DF7C2D">
            <w:pPr>
              <w:pStyle w:val="table"/>
              <w:jc w:val="center"/>
              <w:rPr>
                <w:rFonts w:ascii="Times New Roman" w:hAnsi="Times New Roman" w:cs="Times New Roman"/>
                <w:sz w:val="18"/>
                <w:szCs w:val="18"/>
              </w:rPr>
            </w:pPr>
          </w:p>
        </w:tc>
        <w:tc>
          <w:tcPr>
            <w:tcW w:w="775" w:type="pct"/>
            <w:tcBorders>
              <w:top w:val="single" w:sz="4" w:space="0" w:color="auto"/>
              <w:bottom w:val="single" w:sz="4" w:space="0" w:color="auto"/>
            </w:tcBorders>
            <w:vAlign w:val="center"/>
          </w:tcPr>
          <w:p w14:paraId="3EEAC07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w:t>
            </w:r>
          </w:p>
        </w:tc>
      </w:tr>
      <w:tr w:rsidR="001309A5" w:rsidRPr="00F85B7C" w14:paraId="004E85DD" w14:textId="77777777" w:rsidTr="00DF7C2D">
        <w:trPr>
          <w:jc w:val="center"/>
        </w:trPr>
        <w:tc>
          <w:tcPr>
            <w:tcW w:w="919" w:type="pct"/>
            <w:tcBorders>
              <w:top w:val="single" w:sz="4" w:space="0" w:color="auto"/>
            </w:tcBorders>
            <w:vAlign w:val="center"/>
          </w:tcPr>
          <w:p w14:paraId="62BF5A61"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Aluminium</w:t>
            </w:r>
          </w:p>
        </w:tc>
        <w:tc>
          <w:tcPr>
            <w:tcW w:w="595" w:type="pct"/>
            <w:tcBorders>
              <w:top w:val="single" w:sz="4" w:space="0" w:color="auto"/>
            </w:tcBorders>
            <w:vAlign w:val="center"/>
          </w:tcPr>
          <w:p w14:paraId="61FB1F1E"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2700</w:t>
            </w:r>
          </w:p>
        </w:tc>
        <w:tc>
          <w:tcPr>
            <w:tcW w:w="649" w:type="pct"/>
            <w:tcBorders>
              <w:top w:val="single" w:sz="4" w:space="0" w:color="auto"/>
            </w:tcBorders>
            <w:vAlign w:val="center"/>
          </w:tcPr>
          <w:p w14:paraId="79E5A09B"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261.62</w:t>
            </w:r>
          </w:p>
        </w:tc>
        <w:tc>
          <w:tcPr>
            <w:tcW w:w="649" w:type="pct"/>
            <w:tcBorders>
              <w:top w:val="single" w:sz="4" w:space="0" w:color="auto"/>
            </w:tcBorders>
            <w:vAlign w:val="center"/>
          </w:tcPr>
          <w:p w14:paraId="794F4AEC"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274.55</w:t>
            </w:r>
          </w:p>
        </w:tc>
        <w:tc>
          <w:tcPr>
            <w:tcW w:w="730" w:type="pct"/>
            <w:tcBorders>
              <w:top w:val="single" w:sz="4" w:space="0" w:color="auto"/>
            </w:tcBorders>
            <w:vAlign w:val="center"/>
          </w:tcPr>
          <w:p w14:paraId="71FA403C"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65404</w:t>
            </w:r>
          </w:p>
        </w:tc>
        <w:tc>
          <w:tcPr>
            <w:tcW w:w="683" w:type="pct"/>
            <w:tcBorders>
              <w:top w:val="single" w:sz="4" w:space="0" w:color="auto"/>
            </w:tcBorders>
            <w:vAlign w:val="center"/>
          </w:tcPr>
          <w:p w14:paraId="287F2B6B"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0.33</w:t>
            </w:r>
          </w:p>
        </w:tc>
        <w:tc>
          <w:tcPr>
            <w:tcW w:w="775" w:type="pct"/>
            <w:tcBorders>
              <w:top w:val="single" w:sz="4" w:space="0" w:color="auto"/>
            </w:tcBorders>
            <w:vAlign w:val="center"/>
          </w:tcPr>
          <w:p w14:paraId="31B177D2"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7.6</w:t>
            </w:r>
          </w:p>
        </w:tc>
      </w:tr>
      <w:tr w:rsidR="001309A5" w:rsidRPr="00F85B7C" w14:paraId="077D79E7" w14:textId="77777777" w:rsidTr="00DF7C2D">
        <w:trPr>
          <w:jc w:val="center"/>
        </w:trPr>
        <w:tc>
          <w:tcPr>
            <w:tcW w:w="919" w:type="pct"/>
            <w:vAlign w:val="center"/>
          </w:tcPr>
          <w:p w14:paraId="5F722934"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GI Steel</w:t>
            </w:r>
          </w:p>
        </w:tc>
        <w:tc>
          <w:tcPr>
            <w:tcW w:w="595" w:type="pct"/>
            <w:vAlign w:val="center"/>
          </w:tcPr>
          <w:p w14:paraId="39A39964"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7850</w:t>
            </w:r>
          </w:p>
        </w:tc>
        <w:tc>
          <w:tcPr>
            <w:tcW w:w="649" w:type="pct"/>
            <w:vAlign w:val="center"/>
          </w:tcPr>
          <w:p w14:paraId="54406FF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345</w:t>
            </w:r>
          </w:p>
        </w:tc>
        <w:tc>
          <w:tcPr>
            <w:tcW w:w="649" w:type="pct"/>
            <w:vAlign w:val="center"/>
          </w:tcPr>
          <w:p w14:paraId="47141A04"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450</w:t>
            </w:r>
          </w:p>
        </w:tc>
        <w:tc>
          <w:tcPr>
            <w:tcW w:w="730" w:type="pct"/>
            <w:vAlign w:val="center"/>
          </w:tcPr>
          <w:p w14:paraId="6936E9A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200000</w:t>
            </w:r>
          </w:p>
        </w:tc>
        <w:tc>
          <w:tcPr>
            <w:tcW w:w="683" w:type="pct"/>
            <w:vAlign w:val="center"/>
          </w:tcPr>
          <w:p w14:paraId="7AADF86A"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0.3</w:t>
            </w:r>
          </w:p>
        </w:tc>
        <w:tc>
          <w:tcPr>
            <w:tcW w:w="775" w:type="pct"/>
            <w:vAlign w:val="center"/>
          </w:tcPr>
          <w:p w14:paraId="7F1FF16A"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12</w:t>
            </w:r>
          </w:p>
        </w:tc>
      </w:tr>
      <w:tr w:rsidR="001309A5" w:rsidRPr="00F85B7C" w14:paraId="27ABDD21" w14:textId="77777777" w:rsidTr="00DF7C2D">
        <w:trPr>
          <w:jc w:val="center"/>
        </w:trPr>
        <w:tc>
          <w:tcPr>
            <w:tcW w:w="919" w:type="pct"/>
            <w:vAlign w:val="center"/>
          </w:tcPr>
          <w:p w14:paraId="73BA594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PU Foam (T)</w:t>
            </w:r>
          </w:p>
        </w:tc>
        <w:tc>
          <w:tcPr>
            <w:tcW w:w="595" w:type="pct"/>
            <w:vAlign w:val="center"/>
          </w:tcPr>
          <w:p w14:paraId="4EFFC1C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150</w:t>
            </w:r>
          </w:p>
        </w:tc>
        <w:tc>
          <w:tcPr>
            <w:tcW w:w="649" w:type="pct"/>
            <w:vAlign w:val="center"/>
          </w:tcPr>
          <w:p w14:paraId="44B99FC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1.587</w:t>
            </w:r>
          </w:p>
        </w:tc>
        <w:tc>
          <w:tcPr>
            <w:tcW w:w="649" w:type="pct"/>
            <w:vAlign w:val="center"/>
          </w:tcPr>
          <w:p w14:paraId="2033366A"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1.80</w:t>
            </w:r>
          </w:p>
        </w:tc>
        <w:tc>
          <w:tcPr>
            <w:tcW w:w="730" w:type="pct"/>
            <w:vAlign w:val="center"/>
          </w:tcPr>
          <w:p w14:paraId="67BB3EEC"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158.5</w:t>
            </w:r>
          </w:p>
        </w:tc>
        <w:tc>
          <w:tcPr>
            <w:tcW w:w="683" w:type="pct"/>
            <w:vAlign w:val="center"/>
          </w:tcPr>
          <w:p w14:paraId="1569C957"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0.33</w:t>
            </w:r>
          </w:p>
        </w:tc>
        <w:tc>
          <w:tcPr>
            <w:tcW w:w="775" w:type="pct"/>
            <w:vAlign w:val="center"/>
          </w:tcPr>
          <w:p w14:paraId="165DCDC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8</w:t>
            </w:r>
          </w:p>
        </w:tc>
      </w:tr>
      <w:tr w:rsidR="001309A5" w:rsidRPr="00F85B7C" w14:paraId="3CA752AB" w14:textId="77777777" w:rsidTr="00DF7C2D">
        <w:trPr>
          <w:jc w:val="center"/>
        </w:trPr>
        <w:tc>
          <w:tcPr>
            <w:tcW w:w="919" w:type="pct"/>
            <w:tcBorders>
              <w:bottom w:val="single" w:sz="12" w:space="0" w:color="auto"/>
            </w:tcBorders>
            <w:vAlign w:val="center"/>
          </w:tcPr>
          <w:p w14:paraId="074EF74F"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PU Foam (C)</w:t>
            </w:r>
          </w:p>
        </w:tc>
        <w:tc>
          <w:tcPr>
            <w:tcW w:w="595" w:type="pct"/>
            <w:tcBorders>
              <w:bottom w:val="single" w:sz="12" w:space="0" w:color="auto"/>
            </w:tcBorders>
            <w:vAlign w:val="center"/>
          </w:tcPr>
          <w:p w14:paraId="7B724DA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150</w:t>
            </w:r>
          </w:p>
        </w:tc>
        <w:tc>
          <w:tcPr>
            <w:tcW w:w="649" w:type="pct"/>
            <w:tcBorders>
              <w:bottom w:val="single" w:sz="12" w:space="0" w:color="auto"/>
            </w:tcBorders>
            <w:vAlign w:val="center"/>
          </w:tcPr>
          <w:p w14:paraId="6B197267"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5.2</w:t>
            </w:r>
          </w:p>
        </w:tc>
        <w:tc>
          <w:tcPr>
            <w:tcW w:w="649" w:type="pct"/>
            <w:tcBorders>
              <w:bottom w:val="single" w:sz="12" w:space="0" w:color="auto"/>
            </w:tcBorders>
            <w:vAlign w:val="center"/>
          </w:tcPr>
          <w:p w14:paraId="4A46D3ED"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14.03</w:t>
            </w:r>
          </w:p>
        </w:tc>
        <w:tc>
          <w:tcPr>
            <w:tcW w:w="730" w:type="pct"/>
            <w:tcBorders>
              <w:bottom w:val="single" w:sz="12" w:space="0" w:color="auto"/>
            </w:tcBorders>
            <w:vAlign w:val="center"/>
          </w:tcPr>
          <w:p w14:paraId="1A3D0457"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226</w:t>
            </w:r>
          </w:p>
        </w:tc>
        <w:tc>
          <w:tcPr>
            <w:tcW w:w="683" w:type="pct"/>
            <w:tcBorders>
              <w:bottom w:val="single" w:sz="12" w:space="0" w:color="auto"/>
            </w:tcBorders>
            <w:vAlign w:val="center"/>
          </w:tcPr>
          <w:p w14:paraId="31DC3DE5"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0.33</w:t>
            </w:r>
          </w:p>
        </w:tc>
        <w:tc>
          <w:tcPr>
            <w:tcW w:w="775" w:type="pct"/>
            <w:tcBorders>
              <w:bottom w:val="single" w:sz="12" w:space="0" w:color="auto"/>
            </w:tcBorders>
            <w:vAlign w:val="center"/>
          </w:tcPr>
          <w:p w14:paraId="693F4E2F"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NA</w:t>
            </w:r>
          </w:p>
        </w:tc>
      </w:tr>
    </w:tbl>
    <w:p w14:paraId="7A1B2BAE" w14:textId="77777777" w:rsidR="001309A5" w:rsidRPr="001149FB" w:rsidRDefault="001309A5" w:rsidP="001149FB">
      <w:r w:rsidRPr="001149FB">
        <w:t>Note. T: Tension, C: Compression.</w:t>
      </w:r>
    </w:p>
    <w:p w14:paraId="7F67AFF0" w14:textId="77777777" w:rsidR="001309A5" w:rsidRDefault="001309A5" w:rsidP="001149FB">
      <w:pPr>
        <w:pStyle w:val="heading2"/>
      </w:pPr>
      <w:r>
        <w:t>Geometric properties</w:t>
      </w:r>
    </w:p>
    <w:p w14:paraId="47D58299" w14:textId="1F404A7B" w:rsidR="001309A5" w:rsidRDefault="001309A5" w:rsidP="001149FB">
      <w:pPr>
        <w:pStyle w:val="p1a"/>
      </w:pPr>
      <w:r w:rsidRPr="001149FB">
        <w:t xml:space="preserve">Specimen selection for experimental evaluation considered practical application ratios to ensure relevance to real-world scenarios. Hollow circular </w:t>
      </w:r>
      <w:r w:rsidR="000236A5">
        <w:t>aluminum</w:t>
      </w:r>
      <w:r w:rsidRPr="001149FB">
        <w:t xml:space="preserve"> tubes were machined to achieve diameter-to-thickness ratios of 30.15 and 40.20 (longitudinal aspect ratio), with a length-to-diameter ratio of 3.32 (cross-sectional aspect ratio). Galvanized cold-rolled steel coils were formed into 100 mm side square tubes with thicknesses of 0.8 mm, 1.0 mm, and 1.2 mm. These tubes, 200 mm in length, were fabricated using the press braking process, with corners secured by rivets and tack welding at 50 mm intervals. Details of the </w:t>
      </w:r>
      <w:r w:rsidR="000236A5">
        <w:t>aluminum</w:t>
      </w:r>
      <w:r w:rsidRPr="001149FB">
        <w:t xml:space="preserve"> and light gauge steel specimens prepared for experimental tests are summarized in Table 3.</w:t>
      </w:r>
    </w:p>
    <w:p w14:paraId="007617B8" w14:textId="4D78A8D0" w:rsidR="00CA66B4" w:rsidRDefault="00CA66B4" w:rsidP="00CA66B4"/>
    <w:p w14:paraId="28F10B88" w14:textId="425428CA" w:rsidR="00CA66B4" w:rsidRDefault="00CA66B4" w:rsidP="00CA66B4"/>
    <w:p w14:paraId="31AD92B1" w14:textId="6AE16AD0" w:rsidR="00CA66B4" w:rsidRDefault="00CA66B4" w:rsidP="00CA66B4"/>
    <w:p w14:paraId="64CB9796" w14:textId="7183303A" w:rsidR="00CA66B4" w:rsidRDefault="00CA66B4" w:rsidP="00CA66B4"/>
    <w:p w14:paraId="50DE2000" w14:textId="77777777" w:rsidR="00CA66B4" w:rsidRPr="00CA66B4" w:rsidRDefault="00CA66B4" w:rsidP="00CA66B4"/>
    <w:p w14:paraId="64FFFD86" w14:textId="526C9CC4" w:rsidR="001309A5" w:rsidRPr="00DB4C76" w:rsidRDefault="001149FB" w:rsidP="001149FB">
      <w:pPr>
        <w:pStyle w:val="tablecaption"/>
      </w:pPr>
      <w:r>
        <w:rPr>
          <w:b/>
        </w:rPr>
        <w:lastRenderedPageBreak/>
        <w:t xml:space="preserve">Table </w:t>
      </w:r>
      <w:r>
        <w:rPr>
          <w:b/>
        </w:rPr>
        <w:fldChar w:fldCharType="begin"/>
      </w:r>
      <w:r>
        <w:rPr>
          <w:b/>
        </w:rPr>
        <w:instrText xml:space="preserve"> SEQ "Table" \* MERGEFORMAT </w:instrText>
      </w:r>
      <w:r>
        <w:rPr>
          <w:b/>
        </w:rPr>
        <w:fldChar w:fldCharType="separate"/>
      </w:r>
      <w:r w:rsidR="00CD609F">
        <w:rPr>
          <w:b/>
          <w:noProof/>
        </w:rPr>
        <w:t>3</w:t>
      </w:r>
      <w:r>
        <w:rPr>
          <w:b/>
        </w:rPr>
        <w:fldChar w:fldCharType="end"/>
      </w:r>
      <w:r>
        <w:rPr>
          <w:b/>
        </w:rPr>
        <w:t>.</w:t>
      </w:r>
      <w:r>
        <w:t xml:space="preserve"> </w:t>
      </w:r>
      <w:r w:rsidR="001309A5" w:rsidRPr="001149FB">
        <w:t>Geometric</w:t>
      </w:r>
      <w:r w:rsidR="001309A5" w:rsidRPr="00DB4C76">
        <w:t xml:space="preserve"> Properties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
        <w:gridCol w:w="852"/>
        <w:gridCol w:w="1085"/>
        <w:gridCol w:w="1550"/>
        <w:gridCol w:w="930"/>
        <w:gridCol w:w="930"/>
        <w:gridCol w:w="565"/>
      </w:tblGrid>
      <w:tr w:rsidR="001309A5" w:rsidRPr="00F85B7C" w14:paraId="13EC1BDD" w14:textId="77777777" w:rsidTr="00DF7C2D">
        <w:tc>
          <w:tcPr>
            <w:tcW w:w="728" w:type="pct"/>
            <w:tcBorders>
              <w:top w:val="single" w:sz="12" w:space="0" w:color="auto"/>
            </w:tcBorders>
            <w:vAlign w:val="center"/>
          </w:tcPr>
          <w:p w14:paraId="4BADE4A1"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Specimen</w:t>
            </w:r>
          </w:p>
        </w:tc>
        <w:tc>
          <w:tcPr>
            <w:tcW w:w="616" w:type="pct"/>
            <w:tcBorders>
              <w:top w:val="single" w:sz="12" w:space="0" w:color="auto"/>
              <w:bottom w:val="single" w:sz="4" w:space="0" w:color="auto"/>
            </w:tcBorders>
            <w:vAlign w:val="center"/>
          </w:tcPr>
          <w:p w14:paraId="6928E45B"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Length</w:t>
            </w:r>
          </w:p>
        </w:tc>
        <w:tc>
          <w:tcPr>
            <w:tcW w:w="784" w:type="pct"/>
            <w:tcBorders>
              <w:top w:val="single" w:sz="12" w:space="0" w:color="auto"/>
              <w:bottom w:val="single" w:sz="4" w:space="0" w:color="auto"/>
            </w:tcBorders>
            <w:vAlign w:val="center"/>
          </w:tcPr>
          <w:p w14:paraId="60CD582A"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Thickness</w:t>
            </w:r>
          </w:p>
        </w:tc>
        <w:tc>
          <w:tcPr>
            <w:tcW w:w="1120" w:type="pct"/>
            <w:tcBorders>
              <w:top w:val="single" w:sz="12" w:space="0" w:color="auto"/>
              <w:bottom w:val="single" w:sz="4" w:space="0" w:color="auto"/>
            </w:tcBorders>
            <w:vAlign w:val="center"/>
          </w:tcPr>
          <w:p w14:paraId="40BC2CAF"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Diameter/Width</w:t>
            </w:r>
          </w:p>
        </w:tc>
        <w:tc>
          <w:tcPr>
            <w:tcW w:w="672" w:type="pct"/>
            <w:tcBorders>
              <w:top w:val="single" w:sz="12" w:space="0" w:color="auto"/>
            </w:tcBorders>
            <w:vAlign w:val="center"/>
          </w:tcPr>
          <w:p w14:paraId="0E0AFEDC"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L/(D/B)</w:t>
            </w:r>
          </w:p>
        </w:tc>
        <w:tc>
          <w:tcPr>
            <w:tcW w:w="672" w:type="pct"/>
            <w:tcBorders>
              <w:top w:val="single" w:sz="12" w:space="0" w:color="auto"/>
            </w:tcBorders>
            <w:vAlign w:val="center"/>
          </w:tcPr>
          <w:p w14:paraId="56DFE3C2"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(D/B)/t</w:t>
            </w:r>
          </w:p>
        </w:tc>
        <w:tc>
          <w:tcPr>
            <w:tcW w:w="408" w:type="pct"/>
            <w:tcBorders>
              <w:top w:val="single" w:sz="12" w:space="0" w:color="auto"/>
            </w:tcBorders>
            <w:vAlign w:val="center"/>
          </w:tcPr>
          <w:p w14:paraId="66317F4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No.</w:t>
            </w:r>
          </w:p>
        </w:tc>
      </w:tr>
      <w:tr w:rsidR="001309A5" w:rsidRPr="00F85B7C" w14:paraId="70AFD88D" w14:textId="77777777" w:rsidTr="00DF7C2D">
        <w:tc>
          <w:tcPr>
            <w:tcW w:w="728" w:type="pct"/>
            <w:tcBorders>
              <w:bottom w:val="single" w:sz="4" w:space="0" w:color="auto"/>
            </w:tcBorders>
            <w:vAlign w:val="center"/>
          </w:tcPr>
          <w:p w14:paraId="63F59DB0" w14:textId="77777777" w:rsidR="001309A5" w:rsidRPr="00F85B7C" w:rsidRDefault="001309A5" w:rsidP="00DF7C2D">
            <w:pPr>
              <w:pStyle w:val="table"/>
              <w:rPr>
                <w:rFonts w:ascii="Times New Roman" w:hAnsi="Times New Roman" w:cs="Times New Roman"/>
                <w:sz w:val="18"/>
                <w:szCs w:val="18"/>
              </w:rPr>
            </w:pPr>
          </w:p>
        </w:tc>
        <w:tc>
          <w:tcPr>
            <w:tcW w:w="616" w:type="pct"/>
            <w:tcBorders>
              <w:top w:val="single" w:sz="4" w:space="0" w:color="auto"/>
              <w:bottom w:val="single" w:sz="4" w:space="0" w:color="auto"/>
            </w:tcBorders>
            <w:vAlign w:val="center"/>
          </w:tcPr>
          <w:p w14:paraId="60AF4FD0"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(L mm)</w:t>
            </w:r>
          </w:p>
        </w:tc>
        <w:tc>
          <w:tcPr>
            <w:tcW w:w="784" w:type="pct"/>
            <w:tcBorders>
              <w:top w:val="single" w:sz="4" w:space="0" w:color="auto"/>
              <w:bottom w:val="single" w:sz="4" w:space="0" w:color="auto"/>
            </w:tcBorders>
            <w:vAlign w:val="center"/>
          </w:tcPr>
          <w:p w14:paraId="4095C77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(t mm)</w:t>
            </w:r>
          </w:p>
        </w:tc>
        <w:tc>
          <w:tcPr>
            <w:tcW w:w="1120" w:type="pct"/>
            <w:tcBorders>
              <w:top w:val="single" w:sz="4" w:space="0" w:color="auto"/>
              <w:bottom w:val="single" w:sz="4" w:space="0" w:color="auto"/>
            </w:tcBorders>
            <w:vAlign w:val="center"/>
          </w:tcPr>
          <w:p w14:paraId="4D11DF18"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(D/B mm)</w:t>
            </w:r>
          </w:p>
        </w:tc>
        <w:tc>
          <w:tcPr>
            <w:tcW w:w="672" w:type="pct"/>
            <w:tcBorders>
              <w:bottom w:val="single" w:sz="4" w:space="0" w:color="auto"/>
            </w:tcBorders>
            <w:vAlign w:val="center"/>
          </w:tcPr>
          <w:p w14:paraId="41A884C5" w14:textId="77777777" w:rsidR="001309A5" w:rsidRPr="00F85B7C" w:rsidRDefault="001309A5" w:rsidP="00DF7C2D">
            <w:pPr>
              <w:pStyle w:val="table"/>
              <w:jc w:val="center"/>
              <w:rPr>
                <w:rFonts w:ascii="Times New Roman" w:hAnsi="Times New Roman" w:cs="Times New Roman"/>
                <w:sz w:val="18"/>
                <w:szCs w:val="18"/>
              </w:rPr>
            </w:pPr>
          </w:p>
        </w:tc>
        <w:tc>
          <w:tcPr>
            <w:tcW w:w="672" w:type="pct"/>
            <w:tcBorders>
              <w:bottom w:val="single" w:sz="4" w:space="0" w:color="auto"/>
            </w:tcBorders>
            <w:vAlign w:val="center"/>
          </w:tcPr>
          <w:p w14:paraId="78FA465D" w14:textId="77777777" w:rsidR="001309A5" w:rsidRPr="00F85B7C" w:rsidRDefault="001309A5" w:rsidP="00DF7C2D">
            <w:pPr>
              <w:pStyle w:val="table"/>
              <w:jc w:val="center"/>
              <w:rPr>
                <w:rFonts w:ascii="Times New Roman" w:hAnsi="Times New Roman" w:cs="Times New Roman"/>
                <w:sz w:val="18"/>
                <w:szCs w:val="18"/>
              </w:rPr>
            </w:pPr>
          </w:p>
        </w:tc>
        <w:tc>
          <w:tcPr>
            <w:tcW w:w="408" w:type="pct"/>
            <w:tcBorders>
              <w:bottom w:val="single" w:sz="4" w:space="0" w:color="auto"/>
            </w:tcBorders>
            <w:vAlign w:val="center"/>
          </w:tcPr>
          <w:p w14:paraId="346A64F5" w14:textId="77777777" w:rsidR="001309A5" w:rsidRPr="00F85B7C" w:rsidRDefault="001309A5" w:rsidP="00DF7C2D">
            <w:pPr>
              <w:pStyle w:val="table"/>
              <w:jc w:val="center"/>
              <w:rPr>
                <w:rFonts w:ascii="Times New Roman" w:hAnsi="Times New Roman" w:cs="Times New Roman"/>
                <w:sz w:val="18"/>
                <w:szCs w:val="18"/>
              </w:rPr>
            </w:pPr>
          </w:p>
        </w:tc>
      </w:tr>
      <w:tr w:rsidR="001309A5" w:rsidRPr="00F85B7C" w14:paraId="54BFE878" w14:textId="77777777" w:rsidTr="00DF7C2D">
        <w:tc>
          <w:tcPr>
            <w:tcW w:w="728" w:type="pct"/>
            <w:tcBorders>
              <w:top w:val="single" w:sz="4" w:space="0" w:color="auto"/>
            </w:tcBorders>
            <w:vAlign w:val="center"/>
          </w:tcPr>
          <w:p w14:paraId="2513995A"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FFAC1</w:t>
            </w:r>
          </w:p>
        </w:tc>
        <w:tc>
          <w:tcPr>
            <w:tcW w:w="616" w:type="pct"/>
            <w:tcBorders>
              <w:top w:val="single" w:sz="4" w:space="0" w:color="auto"/>
            </w:tcBorders>
            <w:vAlign w:val="center"/>
          </w:tcPr>
          <w:p w14:paraId="7BEEDC8C"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784" w:type="pct"/>
            <w:tcBorders>
              <w:top w:val="single" w:sz="4" w:space="0" w:color="auto"/>
            </w:tcBorders>
            <w:vAlign w:val="center"/>
          </w:tcPr>
          <w:p w14:paraId="158FD24F"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w:t>
            </w:r>
          </w:p>
        </w:tc>
        <w:tc>
          <w:tcPr>
            <w:tcW w:w="1120" w:type="pct"/>
            <w:tcBorders>
              <w:top w:val="single" w:sz="4" w:space="0" w:color="auto"/>
            </w:tcBorders>
            <w:vAlign w:val="center"/>
          </w:tcPr>
          <w:p w14:paraId="4983E675"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60.3</w:t>
            </w:r>
          </w:p>
        </w:tc>
        <w:tc>
          <w:tcPr>
            <w:tcW w:w="672" w:type="pct"/>
            <w:tcBorders>
              <w:top w:val="single" w:sz="4" w:space="0" w:color="auto"/>
            </w:tcBorders>
            <w:vAlign w:val="center"/>
          </w:tcPr>
          <w:p w14:paraId="642CF47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3.32</w:t>
            </w:r>
          </w:p>
        </w:tc>
        <w:tc>
          <w:tcPr>
            <w:tcW w:w="672" w:type="pct"/>
            <w:tcBorders>
              <w:top w:val="single" w:sz="4" w:space="0" w:color="auto"/>
            </w:tcBorders>
            <w:vAlign w:val="center"/>
          </w:tcPr>
          <w:p w14:paraId="2BAB4A87"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30.15</w:t>
            </w:r>
          </w:p>
        </w:tc>
        <w:tc>
          <w:tcPr>
            <w:tcW w:w="408" w:type="pct"/>
            <w:tcBorders>
              <w:top w:val="single" w:sz="4" w:space="0" w:color="auto"/>
            </w:tcBorders>
            <w:vAlign w:val="center"/>
          </w:tcPr>
          <w:p w14:paraId="6556F9F4"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4</w:t>
            </w:r>
          </w:p>
        </w:tc>
      </w:tr>
      <w:tr w:rsidR="001309A5" w:rsidRPr="00F85B7C" w14:paraId="2194D085" w14:textId="77777777" w:rsidTr="00DF7C2D">
        <w:tc>
          <w:tcPr>
            <w:tcW w:w="728" w:type="pct"/>
            <w:vAlign w:val="center"/>
          </w:tcPr>
          <w:p w14:paraId="614633D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FFAC2</w:t>
            </w:r>
          </w:p>
        </w:tc>
        <w:tc>
          <w:tcPr>
            <w:tcW w:w="616" w:type="pct"/>
            <w:vAlign w:val="center"/>
          </w:tcPr>
          <w:p w14:paraId="5D3F765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784" w:type="pct"/>
            <w:vAlign w:val="center"/>
          </w:tcPr>
          <w:p w14:paraId="66AB4955"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1.5</w:t>
            </w:r>
          </w:p>
        </w:tc>
        <w:tc>
          <w:tcPr>
            <w:tcW w:w="1120" w:type="pct"/>
            <w:vAlign w:val="center"/>
          </w:tcPr>
          <w:p w14:paraId="54293365"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60.3</w:t>
            </w:r>
          </w:p>
        </w:tc>
        <w:tc>
          <w:tcPr>
            <w:tcW w:w="672" w:type="pct"/>
            <w:vAlign w:val="center"/>
          </w:tcPr>
          <w:p w14:paraId="4BA58AA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3.32</w:t>
            </w:r>
          </w:p>
        </w:tc>
        <w:tc>
          <w:tcPr>
            <w:tcW w:w="672" w:type="pct"/>
            <w:vAlign w:val="center"/>
          </w:tcPr>
          <w:p w14:paraId="28C4DDCB"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40.20</w:t>
            </w:r>
          </w:p>
        </w:tc>
        <w:tc>
          <w:tcPr>
            <w:tcW w:w="408" w:type="pct"/>
            <w:vAlign w:val="center"/>
          </w:tcPr>
          <w:p w14:paraId="237D8645"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4</w:t>
            </w:r>
          </w:p>
        </w:tc>
      </w:tr>
      <w:tr w:rsidR="001309A5" w:rsidRPr="00F85B7C" w14:paraId="7D06AB59" w14:textId="77777777" w:rsidTr="00DF7C2D">
        <w:tc>
          <w:tcPr>
            <w:tcW w:w="728" w:type="pct"/>
            <w:vAlign w:val="center"/>
          </w:tcPr>
          <w:p w14:paraId="651054C8"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FFSS1</w:t>
            </w:r>
          </w:p>
        </w:tc>
        <w:tc>
          <w:tcPr>
            <w:tcW w:w="616" w:type="pct"/>
            <w:vAlign w:val="center"/>
          </w:tcPr>
          <w:p w14:paraId="3E916E06"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784" w:type="pct"/>
            <w:vAlign w:val="center"/>
          </w:tcPr>
          <w:p w14:paraId="6C36AF3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0.8</w:t>
            </w:r>
          </w:p>
        </w:tc>
        <w:tc>
          <w:tcPr>
            <w:tcW w:w="1120" w:type="pct"/>
            <w:vAlign w:val="center"/>
          </w:tcPr>
          <w:p w14:paraId="08EC1B4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100.0</w:t>
            </w:r>
          </w:p>
        </w:tc>
        <w:tc>
          <w:tcPr>
            <w:tcW w:w="672" w:type="pct"/>
            <w:vAlign w:val="center"/>
          </w:tcPr>
          <w:p w14:paraId="64DE83D3"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672" w:type="pct"/>
            <w:vAlign w:val="center"/>
          </w:tcPr>
          <w:p w14:paraId="47740F1E"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125.00</w:t>
            </w:r>
          </w:p>
        </w:tc>
        <w:tc>
          <w:tcPr>
            <w:tcW w:w="408" w:type="pct"/>
            <w:vAlign w:val="center"/>
          </w:tcPr>
          <w:p w14:paraId="4A74C717"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3</w:t>
            </w:r>
          </w:p>
        </w:tc>
      </w:tr>
      <w:tr w:rsidR="001309A5" w:rsidRPr="00F85B7C" w14:paraId="51D65107" w14:textId="77777777" w:rsidTr="00DF7C2D">
        <w:tc>
          <w:tcPr>
            <w:tcW w:w="728" w:type="pct"/>
            <w:vAlign w:val="center"/>
          </w:tcPr>
          <w:p w14:paraId="03E8680D"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FFSS2</w:t>
            </w:r>
          </w:p>
        </w:tc>
        <w:tc>
          <w:tcPr>
            <w:tcW w:w="616" w:type="pct"/>
            <w:vAlign w:val="center"/>
          </w:tcPr>
          <w:p w14:paraId="05EC71CC"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784" w:type="pct"/>
            <w:vAlign w:val="center"/>
          </w:tcPr>
          <w:p w14:paraId="5AD665FD"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1.0</w:t>
            </w:r>
          </w:p>
        </w:tc>
        <w:tc>
          <w:tcPr>
            <w:tcW w:w="1120" w:type="pct"/>
            <w:vAlign w:val="center"/>
          </w:tcPr>
          <w:p w14:paraId="6E1394AB"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100.0</w:t>
            </w:r>
          </w:p>
        </w:tc>
        <w:tc>
          <w:tcPr>
            <w:tcW w:w="672" w:type="pct"/>
            <w:vAlign w:val="center"/>
          </w:tcPr>
          <w:p w14:paraId="003B4455"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672" w:type="pct"/>
            <w:vAlign w:val="center"/>
          </w:tcPr>
          <w:p w14:paraId="7CB92D0B"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100.00</w:t>
            </w:r>
          </w:p>
        </w:tc>
        <w:tc>
          <w:tcPr>
            <w:tcW w:w="408" w:type="pct"/>
            <w:vAlign w:val="center"/>
          </w:tcPr>
          <w:p w14:paraId="6701F9BA"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3</w:t>
            </w:r>
          </w:p>
        </w:tc>
      </w:tr>
      <w:tr w:rsidR="001309A5" w:rsidRPr="00F85B7C" w14:paraId="6E0E430E" w14:textId="77777777" w:rsidTr="00DF7C2D">
        <w:tc>
          <w:tcPr>
            <w:tcW w:w="728" w:type="pct"/>
            <w:tcBorders>
              <w:bottom w:val="single" w:sz="12" w:space="0" w:color="auto"/>
            </w:tcBorders>
            <w:vAlign w:val="center"/>
          </w:tcPr>
          <w:p w14:paraId="25EF4812"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FFSS3</w:t>
            </w:r>
          </w:p>
        </w:tc>
        <w:tc>
          <w:tcPr>
            <w:tcW w:w="616" w:type="pct"/>
            <w:tcBorders>
              <w:bottom w:val="single" w:sz="12" w:space="0" w:color="auto"/>
            </w:tcBorders>
            <w:vAlign w:val="center"/>
          </w:tcPr>
          <w:p w14:paraId="67AC9BCD"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784" w:type="pct"/>
            <w:tcBorders>
              <w:bottom w:val="single" w:sz="12" w:space="0" w:color="auto"/>
            </w:tcBorders>
            <w:vAlign w:val="center"/>
          </w:tcPr>
          <w:p w14:paraId="63E1E954"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1.2</w:t>
            </w:r>
          </w:p>
        </w:tc>
        <w:tc>
          <w:tcPr>
            <w:tcW w:w="1120" w:type="pct"/>
            <w:tcBorders>
              <w:bottom w:val="single" w:sz="12" w:space="0" w:color="auto"/>
            </w:tcBorders>
            <w:vAlign w:val="center"/>
          </w:tcPr>
          <w:p w14:paraId="6CC11DE5"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100.0</w:t>
            </w:r>
          </w:p>
        </w:tc>
        <w:tc>
          <w:tcPr>
            <w:tcW w:w="672" w:type="pct"/>
            <w:tcBorders>
              <w:bottom w:val="single" w:sz="12" w:space="0" w:color="auto"/>
            </w:tcBorders>
            <w:vAlign w:val="center"/>
          </w:tcPr>
          <w:p w14:paraId="47A4C6FD"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2.00</w:t>
            </w:r>
          </w:p>
        </w:tc>
        <w:tc>
          <w:tcPr>
            <w:tcW w:w="672" w:type="pct"/>
            <w:tcBorders>
              <w:bottom w:val="single" w:sz="12" w:space="0" w:color="auto"/>
            </w:tcBorders>
            <w:vAlign w:val="center"/>
          </w:tcPr>
          <w:p w14:paraId="1772A7DD"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83.33</w:t>
            </w:r>
          </w:p>
        </w:tc>
        <w:tc>
          <w:tcPr>
            <w:tcW w:w="408" w:type="pct"/>
            <w:tcBorders>
              <w:bottom w:val="single" w:sz="12" w:space="0" w:color="auto"/>
            </w:tcBorders>
            <w:vAlign w:val="center"/>
          </w:tcPr>
          <w:p w14:paraId="249E757F" w14:textId="77777777" w:rsidR="001309A5" w:rsidRPr="00F85B7C" w:rsidRDefault="001309A5" w:rsidP="00DF7C2D">
            <w:pPr>
              <w:pStyle w:val="table"/>
              <w:jc w:val="center"/>
              <w:rPr>
                <w:rFonts w:ascii="Times New Roman" w:hAnsi="Times New Roman" w:cs="Times New Roman"/>
                <w:sz w:val="18"/>
                <w:szCs w:val="18"/>
              </w:rPr>
            </w:pPr>
            <w:r w:rsidRPr="00F85B7C">
              <w:rPr>
                <w:rFonts w:ascii="Times New Roman" w:hAnsi="Times New Roman" w:cs="Times New Roman"/>
                <w:sz w:val="18"/>
                <w:szCs w:val="18"/>
              </w:rPr>
              <w:t>3</w:t>
            </w:r>
          </w:p>
        </w:tc>
      </w:tr>
    </w:tbl>
    <w:p w14:paraId="342F5996" w14:textId="66F60F39" w:rsidR="001309A5" w:rsidRPr="001149FB" w:rsidRDefault="001309A5" w:rsidP="001149FB">
      <w:r w:rsidRPr="001149FB">
        <w:t xml:space="preserve">FFAC: High-density PU Foam Filled </w:t>
      </w:r>
      <w:r w:rsidR="005D34C2" w:rsidRPr="001149FB">
        <w:t>Aluminum</w:t>
      </w:r>
      <w:r w:rsidRPr="001149FB">
        <w:t xml:space="preserve"> Circular Tube, FFSS: High-density PU Foam Filled Steel Square Tube</w:t>
      </w:r>
      <w:r w:rsidR="001149FB">
        <w:t>.</w:t>
      </w:r>
    </w:p>
    <w:p w14:paraId="178C9FBE" w14:textId="77777777" w:rsidR="001149FB" w:rsidRDefault="001149FB" w:rsidP="001149FB">
      <w:pPr>
        <w:pStyle w:val="heading1"/>
      </w:pPr>
      <w:r>
        <w:t>Experimental Investigation</w:t>
      </w:r>
    </w:p>
    <w:p w14:paraId="08D9041C" w14:textId="77777777" w:rsidR="001149FB" w:rsidRPr="001149FB" w:rsidRDefault="000236A5" w:rsidP="001149FB">
      <w:pPr>
        <w:pStyle w:val="p1a"/>
      </w:pPr>
      <w:r>
        <w:t>The experimental</w:t>
      </w:r>
      <w:r w:rsidR="001149FB" w:rsidRPr="001149FB">
        <w:t xml:space="preserve"> investigation utilized the push-in test procedure to assess the bond capacity of the specimens. The experimental setup, depicted in Fig. 2, involved hollow test specimens measuring 200 mm in length, filled with high-density PU foam up to 190 mm from the bottom. A compressive load was applied exclusively on the foam at a rate of 50 mm/min using a 100 kN Universal Testing Machine (UTM).</w:t>
      </w:r>
    </w:p>
    <w:p w14:paraId="087F4F9C" w14:textId="77777777" w:rsidR="001149FB" w:rsidRDefault="001149FB" w:rsidP="001149FB"/>
    <w:p w14:paraId="171DD84F" w14:textId="3E771A0C" w:rsidR="001149FB" w:rsidRDefault="001C2D0F" w:rsidP="001C2D0F">
      <w:pPr>
        <w:spacing w:line="240" w:lineRule="auto"/>
        <w:ind w:firstLine="0"/>
        <w:contextualSpacing/>
        <w:jc w:val="center"/>
        <w:rPr>
          <w:rFonts w:eastAsia="Calibri"/>
          <w:sz w:val="24"/>
          <w:szCs w:val="22"/>
        </w:rPr>
      </w:pPr>
      <w:r w:rsidRPr="001C2D0F">
        <w:rPr>
          <w:rFonts w:eastAsia="Calibri"/>
          <w:noProof/>
        </w:rPr>
        <w:drawing>
          <wp:inline distT="0" distB="0" distL="0" distR="0" wp14:anchorId="4D776210" wp14:editId="60682B9D">
            <wp:extent cx="3853065" cy="201168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53065" cy="2011680"/>
                    </a:xfrm>
                    <a:prstGeom prst="rect">
                      <a:avLst/>
                    </a:prstGeom>
                    <a:noFill/>
                    <a:ln>
                      <a:noFill/>
                    </a:ln>
                  </pic:spPr>
                </pic:pic>
              </a:graphicData>
            </a:graphic>
          </wp:inline>
        </w:drawing>
      </w:r>
    </w:p>
    <w:p w14:paraId="6F0010DC" w14:textId="0B6704FA" w:rsidR="001149FB" w:rsidRPr="00DB7E4A" w:rsidRDefault="001149FB" w:rsidP="001149FB">
      <w:pPr>
        <w:pStyle w:val="figurecaption"/>
        <w:jc w:val="both"/>
      </w:pPr>
      <w:r>
        <w:rPr>
          <w:b/>
        </w:rPr>
        <w:t xml:space="preserve">Fig. </w:t>
      </w:r>
      <w:r>
        <w:rPr>
          <w:b/>
        </w:rPr>
        <w:fldChar w:fldCharType="begin"/>
      </w:r>
      <w:r>
        <w:rPr>
          <w:b/>
        </w:rPr>
        <w:instrText xml:space="preserve"> SEQ "Figure" \* MERGEFORMAT </w:instrText>
      </w:r>
      <w:r>
        <w:rPr>
          <w:b/>
        </w:rPr>
        <w:fldChar w:fldCharType="separate"/>
      </w:r>
      <w:r w:rsidR="00CD609F">
        <w:rPr>
          <w:b/>
          <w:noProof/>
        </w:rPr>
        <w:t>2</w:t>
      </w:r>
      <w:r>
        <w:rPr>
          <w:b/>
        </w:rPr>
        <w:fldChar w:fldCharType="end"/>
      </w:r>
      <w:r>
        <w:rPr>
          <w:b/>
        </w:rPr>
        <w:t>.</w:t>
      </w:r>
      <w:r>
        <w:t xml:space="preserve"> </w:t>
      </w:r>
      <w:r w:rsidRPr="001149FB">
        <w:t>(a)</w:t>
      </w:r>
      <w:r>
        <w:rPr>
          <w:b/>
        </w:rPr>
        <w:t xml:space="preserve"> </w:t>
      </w:r>
      <w:r w:rsidRPr="00DB7E4A">
        <w:t>Experimental Setup</w:t>
      </w:r>
      <w:r w:rsidR="00DD6F9D">
        <w:t xml:space="preserve"> - </w:t>
      </w:r>
      <w:r>
        <w:t xml:space="preserve">Testing of </w:t>
      </w:r>
      <w:r>
        <w:rPr>
          <w:szCs w:val="18"/>
        </w:rPr>
        <w:t xml:space="preserve">high-density </w:t>
      </w:r>
      <w:r>
        <w:t>PU foam filled (b) aluminum circular tubes and (c) galvanized steel square tubes.</w:t>
      </w:r>
      <w:r w:rsidRPr="00DB7E4A">
        <w:t xml:space="preserve"> </w:t>
      </w:r>
    </w:p>
    <w:p w14:paraId="7093B0AB" w14:textId="77777777" w:rsidR="001149FB" w:rsidRPr="001149FB" w:rsidRDefault="001149FB" w:rsidP="001149FB">
      <w:pPr>
        <w:pStyle w:val="p1a"/>
      </w:pPr>
      <w:r w:rsidRPr="001149FB">
        <w:t xml:space="preserve">The crushing strength of high-density PU foam confined within hollow elements, including high-density PU foam-filled aluminum circular tubes and light gauge steel square tubes, was compared with that of unconfined foam (PU foam alone). This approach facilitated the evaluation of the bond strength between the high-density PU foam and the hollow tubes, with load versus slip data used to measure the contact interface bond strength. </w:t>
      </w:r>
    </w:p>
    <w:p w14:paraId="6CED8DEC" w14:textId="77777777" w:rsidR="001149FB" w:rsidRDefault="001149FB" w:rsidP="001149FB">
      <w:pPr>
        <w:pStyle w:val="heading2"/>
      </w:pPr>
      <w:r>
        <w:lastRenderedPageBreak/>
        <w:t xml:space="preserve">Behavior of unconfined </w:t>
      </w:r>
      <w:r>
        <w:rPr>
          <w:sz w:val="18"/>
          <w:szCs w:val="18"/>
        </w:rPr>
        <w:t xml:space="preserve">high-density </w:t>
      </w:r>
      <w:r>
        <w:t>PU foam</w:t>
      </w:r>
    </w:p>
    <w:p w14:paraId="706A9609" w14:textId="77777777" w:rsidR="001149FB" w:rsidRDefault="001149FB" w:rsidP="001149FB">
      <w:pPr>
        <w:pStyle w:val="p1a"/>
      </w:pPr>
      <w:r w:rsidRPr="001149FB">
        <w:t xml:space="preserve">The unconfined PU foam (150 kg/m3) of 50 mm side cubes </w:t>
      </w:r>
      <w:r w:rsidR="000236A5">
        <w:t>was</w:t>
      </w:r>
      <w:r w:rsidRPr="001149FB">
        <w:t xml:space="preserve"> subjected to uniaxial compression to investigate </w:t>
      </w:r>
      <w:r w:rsidR="000236A5">
        <w:t>behavior</w:t>
      </w:r>
      <w:r w:rsidRPr="001149FB">
        <w:t xml:space="preserve"> in terms of stress versus strain response illustrated in </w:t>
      </w:r>
      <w:r w:rsidR="000236A5">
        <w:t>Fig.</w:t>
      </w:r>
      <w:r w:rsidRPr="001149FB">
        <w:t xml:space="preserve"> 3.</w:t>
      </w:r>
    </w:p>
    <w:p w14:paraId="6CBA2891" w14:textId="77777777" w:rsidR="001149FB" w:rsidRPr="001149FB" w:rsidRDefault="001149FB" w:rsidP="001149FB">
      <w:pPr>
        <w:ind w:firstLine="0"/>
        <w:jc w:val="center"/>
      </w:pPr>
      <w:r w:rsidRPr="001149FB">
        <w:rPr>
          <w:noProof/>
        </w:rPr>
        <w:drawing>
          <wp:inline distT="0" distB="0" distL="0" distR="0" wp14:anchorId="53AD278B" wp14:editId="208C0032">
            <wp:extent cx="3896355" cy="1828800"/>
            <wp:effectExtent l="0" t="0" r="9525" b="0"/>
            <wp:docPr id="12544503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2825" b="2258"/>
                    <a:stretch/>
                  </pic:blipFill>
                  <pic:spPr bwMode="auto">
                    <a:xfrm>
                      <a:off x="0" y="0"/>
                      <a:ext cx="3896355" cy="1828800"/>
                    </a:xfrm>
                    <a:prstGeom prst="rect">
                      <a:avLst/>
                    </a:prstGeom>
                    <a:noFill/>
                    <a:ln>
                      <a:noFill/>
                    </a:ln>
                    <a:extLst>
                      <a:ext uri="{53640926-AAD7-44D8-BBD7-CCE9431645EC}">
                        <a14:shadowObscured xmlns:a14="http://schemas.microsoft.com/office/drawing/2010/main"/>
                      </a:ext>
                    </a:extLst>
                  </pic:spPr>
                </pic:pic>
              </a:graphicData>
            </a:graphic>
          </wp:inline>
        </w:drawing>
      </w:r>
    </w:p>
    <w:p w14:paraId="3CB3359E" w14:textId="6E57C4C7" w:rsidR="001149FB" w:rsidRDefault="001149FB" w:rsidP="001149FB">
      <w:pPr>
        <w:pStyle w:val="figurecaption"/>
        <w:jc w:val="both"/>
      </w:pPr>
      <w:r>
        <w:rPr>
          <w:b/>
        </w:rPr>
        <w:t xml:space="preserve">Fig. </w:t>
      </w:r>
      <w:r>
        <w:rPr>
          <w:b/>
        </w:rPr>
        <w:fldChar w:fldCharType="begin"/>
      </w:r>
      <w:r>
        <w:rPr>
          <w:b/>
        </w:rPr>
        <w:instrText xml:space="preserve"> SEQ "Figure" \* MERGEFORMAT </w:instrText>
      </w:r>
      <w:r>
        <w:rPr>
          <w:b/>
        </w:rPr>
        <w:fldChar w:fldCharType="separate"/>
      </w:r>
      <w:r w:rsidR="00CD609F">
        <w:rPr>
          <w:b/>
          <w:noProof/>
        </w:rPr>
        <w:t>3</w:t>
      </w:r>
      <w:r>
        <w:rPr>
          <w:b/>
        </w:rPr>
        <w:fldChar w:fldCharType="end"/>
      </w:r>
      <w:r>
        <w:rPr>
          <w:b/>
        </w:rPr>
        <w:t>.</w:t>
      </w:r>
      <w:r>
        <w:t xml:space="preserve"> </w:t>
      </w:r>
      <w:r w:rsidRPr="001149FB">
        <w:t>(a)</w:t>
      </w:r>
      <w:r>
        <w:t xml:space="preserve"> </w:t>
      </w:r>
      <w:r w:rsidR="00A66163">
        <w:t xml:space="preserve">Compression </w:t>
      </w:r>
      <w:r>
        <w:t xml:space="preserve">testing of unconfined high-density PU foam and (b) </w:t>
      </w:r>
      <w:r w:rsidR="000236A5">
        <w:t>Stress-strain</w:t>
      </w:r>
      <w:r>
        <w:t xml:space="preserve"> </w:t>
      </w:r>
      <w:r w:rsidR="000236A5">
        <w:t>behavior</w:t>
      </w:r>
      <w:r>
        <w:t xml:space="preserve"> of unconfined </w:t>
      </w:r>
      <w:r>
        <w:rPr>
          <w:szCs w:val="18"/>
        </w:rPr>
        <w:t xml:space="preserve">high-density </w:t>
      </w:r>
      <w:r>
        <w:t>PU foam.</w:t>
      </w:r>
    </w:p>
    <w:p w14:paraId="421CBA73" w14:textId="77777777" w:rsidR="001149FB" w:rsidRPr="004E48E4" w:rsidRDefault="001149FB" w:rsidP="001149FB">
      <w:pPr>
        <w:ind w:firstLine="0"/>
        <w:rPr>
          <w:lang w:val="en-IN" w:eastAsia="en-IN"/>
        </w:rPr>
      </w:pPr>
      <w:r w:rsidRPr="001149FB">
        <w:t xml:space="preserve">Polyurethane foam exhibits distinct regions in its stress-strain </w:t>
      </w:r>
      <w:r w:rsidR="000236A5">
        <w:t>behavior</w:t>
      </w:r>
      <w:r w:rsidRPr="001149FB">
        <w:t xml:space="preserve"> under compression</w:t>
      </w:r>
      <w:r w:rsidRPr="004E48E4">
        <w:rPr>
          <w:lang w:val="en-IN" w:eastAsia="en-IN"/>
        </w:rPr>
        <w:t>:</w:t>
      </w:r>
    </w:p>
    <w:p w14:paraId="6329B5A0" w14:textId="77777777" w:rsidR="001149FB" w:rsidRPr="00E24682" w:rsidRDefault="001149FB" w:rsidP="001149FB">
      <w:pPr>
        <w:pStyle w:val="numitem"/>
        <w:rPr>
          <w:lang w:val="en-IN" w:eastAsia="en-IN"/>
        </w:rPr>
      </w:pPr>
      <w:r w:rsidRPr="00E24682">
        <w:rPr>
          <w:bCs/>
          <w:lang w:val="en-IN" w:eastAsia="en-IN"/>
        </w:rPr>
        <w:t>Linear Elastic Region (AB):</w:t>
      </w:r>
      <w:r w:rsidRPr="00E24682">
        <w:rPr>
          <w:lang w:val="en-IN" w:eastAsia="en-IN"/>
        </w:rPr>
        <w:t xml:space="preserve"> At smaller strains, the </w:t>
      </w:r>
      <w:r w:rsidRPr="00E24682">
        <w:rPr>
          <w:sz w:val="18"/>
          <w:szCs w:val="18"/>
        </w:rPr>
        <w:t xml:space="preserve">high-density </w:t>
      </w:r>
      <w:r w:rsidRPr="00E24682">
        <w:rPr>
          <w:lang w:val="en-IN" w:eastAsia="en-IN"/>
        </w:rPr>
        <w:t>PU foam behaves linearly elastic, with the slope of this region equal to Young's modulus. The obtained Young's Modulus (AB) is 226 MPa.</w:t>
      </w:r>
    </w:p>
    <w:p w14:paraId="5229B1E3" w14:textId="77777777" w:rsidR="001149FB" w:rsidRPr="00E24682" w:rsidRDefault="001149FB" w:rsidP="001149FB">
      <w:pPr>
        <w:pStyle w:val="numitem"/>
        <w:rPr>
          <w:lang w:val="en-IN" w:eastAsia="en-IN"/>
        </w:rPr>
      </w:pPr>
      <w:r w:rsidRPr="00E24682">
        <w:rPr>
          <w:bCs/>
          <w:lang w:val="en-IN" w:eastAsia="en-IN"/>
        </w:rPr>
        <w:t>Plateau Region (BC):</w:t>
      </w:r>
      <w:r w:rsidRPr="00E24682">
        <w:rPr>
          <w:lang w:val="en-IN" w:eastAsia="en-IN"/>
        </w:rPr>
        <w:t xml:space="preserve"> Following the linear elastic region, the stress nearly remains unchanged in the plateau region, indicating energy absorption capacity.</w:t>
      </w:r>
    </w:p>
    <w:p w14:paraId="249A277C" w14:textId="77777777" w:rsidR="001149FB" w:rsidRPr="00E24682" w:rsidRDefault="001149FB" w:rsidP="001149FB">
      <w:pPr>
        <w:pStyle w:val="numitem"/>
        <w:rPr>
          <w:lang w:val="en-IN" w:eastAsia="en-IN"/>
        </w:rPr>
      </w:pPr>
      <w:r w:rsidRPr="00E24682">
        <w:rPr>
          <w:bCs/>
          <w:lang w:val="en-IN" w:eastAsia="en-IN"/>
        </w:rPr>
        <w:t>Densification Region (CD):</w:t>
      </w:r>
      <w:r w:rsidRPr="00E24682">
        <w:rPr>
          <w:lang w:val="en-IN" w:eastAsia="en-IN"/>
        </w:rPr>
        <w:t xml:space="preserve"> Finally, in the densification region, stress increases rapidly with further strain due to the collapse of the foam cells.</w:t>
      </w:r>
    </w:p>
    <w:p w14:paraId="48E9879A" w14:textId="62C87681" w:rsidR="001149FB" w:rsidRPr="001149FB" w:rsidRDefault="001149FB" w:rsidP="001149FB">
      <w:pPr>
        <w:pStyle w:val="p1a"/>
      </w:pPr>
      <w:r w:rsidRPr="001149FB">
        <w:t xml:space="preserve">The compressive stress observed at 10% displacement was 5.2 MPa. The ultimate compressive stress achieved was 14 MPa, which is comparable to the strength of </w:t>
      </w:r>
      <w:r w:rsidR="000236A5">
        <w:t>M1</w:t>
      </w:r>
      <w:r w:rsidR="00463206">
        <w:t>4</w:t>
      </w:r>
      <w:r w:rsidR="000236A5">
        <w:t>-grade</w:t>
      </w:r>
      <w:r w:rsidRPr="001149FB">
        <w:t xml:space="preserve"> concrete. However, the split tensile strength for M14 concrete is 1.5 MPa, whereas for PU foam, it is 1.</w:t>
      </w:r>
      <w:r w:rsidR="003B0581">
        <w:t>6</w:t>
      </w:r>
      <w:r w:rsidRPr="001149FB">
        <w:t xml:space="preserve"> MPa.</w:t>
      </w:r>
    </w:p>
    <w:p w14:paraId="42040AB1" w14:textId="77777777" w:rsidR="001149FB" w:rsidRDefault="001149FB" w:rsidP="001149FB">
      <w:pPr>
        <w:pStyle w:val="heading2"/>
      </w:pPr>
      <w:r>
        <w:t xml:space="preserve">Behavior of confined </w:t>
      </w:r>
      <w:r>
        <w:rPr>
          <w:sz w:val="18"/>
          <w:szCs w:val="18"/>
        </w:rPr>
        <w:t xml:space="preserve">high-density </w:t>
      </w:r>
      <w:r>
        <w:t xml:space="preserve">PU foam within </w:t>
      </w:r>
      <w:r w:rsidR="000236A5">
        <w:t xml:space="preserve">the </w:t>
      </w:r>
      <w:r>
        <w:t>aluminum circular tube</w:t>
      </w:r>
    </w:p>
    <w:p w14:paraId="301B09C9" w14:textId="1207FA7A" w:rsidR="001149FB" w:rsidRDefault="001149FB" w:rsidP="001149FB">
      <w:pPr>
        <w:pStyle w:val="p1a"/>
      </w:pPr>
      <w:r w:rsidRPr="001149FB">
        <w:t>Push-in tests were conducted to investigate the behavior of confined PU foam within aluminum circular tubes concerning bonding effects. The results, presented in Fig. 4</w:t>
      </w:r>
      <w:r w:rsidR="003F6F37">
        <w:t>(a) and 4(b)</w:t>
      </w:r>
      <w:r w:rsidRPr="001149FB">
        <w:t xml:space="preserve">, illustrate the load-slip and </w:t>
      </w:r>
      <w:r w:rsidR="000236A5">
        <w:t>stress-strain</w:t>
      </w:r>
      <w:r w:rsidRPr="001149FB">
        <w:t xml:space="preserve"> response</w:t>
      </w:r>
      <w:r w:rsidR="003F6F37">
        <w:t>, respectively</w:t>
      </w:r>
      <w:r w:rsidRPr="001149FB">
        <w:t>.</w:t>
      </w:r>
      <w:r w:rsidR="000334DE">
        <w:t xml:space="preserve"> The </w:t>
      </w:r>
      <w:r w:rsidR="00263EA8">
        <w:t>responses</w:t>
      </w:r>
      <w:r w:rsidR="000334DE">
        <w:t xml:space="preserve"> for both specimens (D/t of 40.2 and 30.15) are almost aligned together with a slight variation, indicating circular aluminum </w:t>
      </w:r>
      <w:r w:rsidR="00263EA8">
        <w:t>tube</w:t>
      </w:r>
      <w:r w:rsidR="000334DE">
        <w:t xml:space="preserve"> wall thickness </w:t>
      </w:r>
      <w:r w:rsidR="00263EA8">
        <w:t>has</w:t>
      </w:r>
      <w:r w:rsidR="000334DE">
        <w:t xml:space="preserve"> </w:t>
      </w:r>
      <w:r w:rsidR="00263EA8">
        <w:t xml:space="preserve">a </w:t>
      </w:r>
      <w:r w:rsidR="000334DE">
        <w:t xml:space="preserve">slight influence on bond performance. </w:t>
      </w:r>
    </w:p>
    <w:p w14:paraId="512DA8F3" w14:textId="77777777" w:rsidR="00DD6F9D" w:rsidRPr="00DD6F9D" w:rsidRDefault="00DD6F9D" w:rsidP="00DD6F9D"/>
    <w:p w14:paraId="053DE43A" w14:textId="12ABFF20" w:rsidR="00DD6F9D" w:rsidRDefault="003F6F37" w:rsidP="00DD6F9D">
      <w:pPr>
        <w:ind w:firstLine="0"/>
        <w:jc w:val="center"/>
      </w:pPr>
      <w:r w:rsidRPr="003F6F37">
        <w:rPr>
          <w:noProof/>
        </w:rPr>
        <w:lastRenderedPageBreak/>
        <w:drawing>
          <wp:inline distT="0" distB="0" distL="0" distR="0" wp14:anchorId="4888C65B" wp14:editId="2DE610AB">
            <wp:extent cx="3890324" cy="201168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90324" cy="2011680"/>
                    </a:xfrm>
                    <a:prstGeom prst="rect">
                      <a:avLst/>
                    </a:prstGeom>
                    <a:noFill/>
                    <a:ln>
                      <a:noFill/>
                    </a:ln>
                  </pic:spPr>
                </pic:pic>
              </a:graphicData>
            </a:graphic>
          </wp:inline>
        </w:drawing>
      </w:r>
    </w:p>
    <w:p w14:paraId="24745AFD" w14:textId="7B6C3670" w:rsidR="001149FB" w:rsidRDefault="001149FB" w:rsidP="003F6F37">
      <w:pPr>
        <w:pStyle w:val="figurecaption"/>
      </w:pPr>
      <w:r>
        <w:rPr>
          <w:b/>
        </w:rPr>
        <w:t xml:space="preserve">Fig. </w:t>
      </w:r>
      <w:r>
        <w:rPr>
          <w:b/>
        </w:rPr>
        <w:fldChar w:fldCharType="begin"/>
      </w:r>
      <w:r>
        <w:rPr>
          <w:b/>
        </w:rPr>
        <w:instrText xml:space="preserve"> SEQ "Figure" \* MERGEFORMAT </w:instrText>
      </w:r>
      <w:r>
        <w:rPr>
          <w:b/>
        </w:rPr>
        <w:fldChar w:fldCharType="separate"/>
      </w:r>
      <w:r w:rsidR="00CD609F">
        <w:rPr>
          <w:b/>
          <w:noProof/>
        </w:rPr>
        <w:t>4</w:t>
      </w:r>
      <w:r>
        <w:rPr>
          <w:b/>
        </w:rPr>
        <w:fldChar w:fldCharType="end"/>
      </w:r>
      <w:r w:rsidR="00556384">
        <w:rPr>
          <w:b/>
        </w:rPr>
        <w:t>(a)</w:t>
      </w:r>
      <w:r>
        <w:rPr>
          <w:b/>
        </w:rPr>
        <w:t>.</w:t>
      </w:r>
      <w:r>
        <w:t xml:space="preserve"> Load-slip </w:t>
      </w:r>
      <w:r w:rsidR="000236A5">
        <w:t>behavior</w:t>
      </w:r>
      <w:r>
        <w:t xml:space="preserve"> </w:t>
      </w:r>
      <w:r w:rsidR="00DD6F9D">
        <w:t xml:space="preserve">of </w:t>
      </w:r>
      <w:r>
        <w:t xml:space="preserve">confined PU foam within </w:t>
      </w:r>
      <w:r w:rsidR="000236A5">
        <w:t>the aluminum</w:t>
      </w:r>
      <w:r>
        <w:t xml:space="preserve"> circular tube.</w:t>
      </w:r>
    </w:p>
    <w:p w14:paraId="39FF9A5D" w14:textId="6A4C67C9" w:rsidR="00DD6F9D" w:rsidRDefault="003F6F37" w:rsidP="003F6F37">
      <w:pPr>
        <w:ind w:firstLine="0"/>
        <w:jc w:val="center"/>
      </w:pPr>
      <w:r w:rsidRPr="003F6F37">
        <w:rPr>
          <w:noProof/>
        </w:rPr>
        <w:drawing>
          <wp:inline distT="0" distB="0" distL="0" distR="0" wp14:anchorId="4F33523B" wp14:editId="3A9C2FD4">
            <wp:extent cx="3886200" cy="2011680"/>
            <wp:effectExtent l="0" t="0" r="0" b="762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86200" cy="2011680"/>
                    </a:xfrm>
                    <a:prstGeom prst="rect">
                      <a:avLst/>
                    </a:prstGeom>
                    <a:noFill/>
                    <a:ln>
                      <a:noFill/>
                    </a:ln>
                  </pic:spPr>
                </pic:pic>
              </a:graphicData>
            </a:graphic>
          </wp:inline>
        </w:drawing>
      </w:r>
    </w:p>
    <w:p w14:paraId="2FD66F96" w14:textId="08A7283C" w:rsidR="00DD6F9D" w:rsidRDefault="00DD6F9D" w:rsidP="003F6F37">
      <w:pPr>
        <w:pStyle w:val="figurecaption"/>
      </w:pPr>
      <w:r>
        <w:rPr>
          <w:b/>
        </w:rPr>
        <w:t xml:space="preserve">Fig. </w:t>
      </w:r>
      <w:r w:rsidR="008F171A">
        <w:rPr>
          <w:b/>
        </w:rPr>
        <w:t>4</w:t>
      </w:r>
      <w:r w:rsidR="00556384">
        <w:rPr>
          <w:b/>
        </w:rPr>
        <w:t>(b)</w:t>
      </w:r>
      <w:r>
        <w:rPr>
          <w:b/>
        </w:rPr>
        <w:t>.</w:t>
      </w:r>
      <w:r>
        <w:t xml:space="preserve"> </w:t>
      </w:r>
      <w:r w:rsidR="003F6F37">
        <w:t>S</w:t>
      </w:r>
      <w:r>
        <w:t>tress-strain behavior of confined PU foam within the aluminum circular tube.</w:t>
      </w:r>
    </w:p>
    <w:p w14:paraId="1ED359BA" w14:textId="79DAF209" w:rsidR="001149FB" w:rsidRPr="001149FB" w:rsidRDefault="001149FB" w:rsidP="001149FB">
      <w:pPr>
        <w:ind w:firstLine="0"/>
      </w:pPr>
      <w:r w:rsidRPr="001149FB">
        <w:t xml:space="preserve">Upon observation, the confined high-density PU foam exhibited </w:t>
      </w:r>
      <w:r w:rsidR="000236A5">
        <w:t>behavior</w:t>
      </w:r>
      <w:r w:rsidRPr="001149FB">
        <w:t xml:space="preserve"> similar to that of the unconfined foam, with key differences. It showed an enhanced linear elastic region</w:t>
      </w:r>
      <w:r w:rsidR="00DE2BB7">
        <w:t xml:space="preserve"> (AB’)</w:t>
      </w:r>
      <w:r w:rsidRPr="001149FB">
        <w:t xml:space="preserve"> extending to greater strains, a shorter plateau region </w:t>
      </w:r>
      <w:r w:rsidR="00DE2BB7">
        <w:t xml:space="preserve">(B’C’) </w:t>
      </w:r>
      <w:r w:rsidRPr="001149FB">
        <w:t>for energy absorption, and a slight densification region</w:t>
      </w:r>
      <w:r w:rsidR="00DE2BB7">
        <w:t xml:space="preserve"> (C’D’)</w:t>
      </w:r>
      <w:r w:rsidRPr="001149FB">
        <w:t xml:space="preserve"> leading to failure. Key observations are as follows:</w:t>
      </w:r>
    </w:p>
    <w:p w14:paraId="2D2608CB" w14:textId="6D238D0C" w:rsidR="001149FB" w:rsidRPr="003922D1" w:rsidRDefault="001149FB" w:rsidP="001149FB">
      <w:pPr>
        <w:pStyle w:val="numitem"/>
        <w:numPr>
          <w:ilvl w:val="0"/>
          <w:numId w:val="15"/>
        </w:numPr>
      </w:pPr>
      <w:r w:rsidRPr="003922D1">
        <w:t>In unconfined conditions, a compressive stress of 5.2 MPa was observed at 1</w:t>
      </w:r>
      <w:r>
        <w:t>5</w:t>
      </w:r>
      <w:r w:rsidRPr="003922D1">
        <w:t>% slip (</w:t>
      </w:r>
      <w:r>
        <w:t>7.</w:t>
      </w:r>
      <w:r w:rsidRPr="003922D1">
        <w:t>5 mm). When confined within aluminum, this stress significantly increased to 13.</w:t>
      </w:r>
      <w:r w:rsidR="00DE2BB7">
        <w:t>8</w:t>
      </w:r>
      <w:r w:rsidRPr="003922D1">
        <w:t xml:space="preserve"> MPa at the same 1</w:t>
      </w:r>
      <w:r>
        <w:t>5</w:t>
      </w:r>
      <w:r w:rsidRPr="003922D1">
        <w:t>% slip (</w:t>
      </w:r>
      <w:r>
        <w:t>28.5</w:t>
      </w:r>
      <w:r w:rsidRPr="003922D1">
        <w:t xml:space="preserve"> mm).</w:t>
      </w:r>
    </w:p>
    <w:p w14:paraId="272C0D85" w14:textId="003482DA" w:rsidR="001149FB" w:rsidRDefault="001149FB" w:rsidP="001149FB">
      <w:pPr>
        <w:pStyle w:val="numitem"/>
      </w:pPr>
      <w:r w:rsidRPr="003922D1">
        <w:t>The composite action between the</w:t>
      </w:r>
      <w:r>
        <w:t xml:space="preserve"> high-density</w:t>
      </w:r>
      <w:r w:rsidRPr="003922D1">
        <w:t xml:space="preserve"> PU foam and the aluminum tube resulted in a 2.6</w:t>
      </w:r>
      <w:r w:rsidR="00DE2BB7">
        <w:t>5</w:t>
      </w:r>
      <w:r w:rsidRPr="003922D1">
        <w:t xml:space="preserve"> (13.</w:t>
      </w:r>
      <w:r w:rsidR="00DE2BB7">
        <w:t>8</w:t>
      </w:r>
      <w:r w:rsidRPr="003922D1">
        <w:t>/5.2) times improvement in compressive stress compared to the unconfined state.</w:t>
      </w:r>
    </w:p>
    <w:p w14:paraId="600F5C84" w14:textId="77777777" w:rsidR="001149FB" w:rsidRDefault="001149FB" w:rsidP="001149FB">
      <w:pPr>
        <w:pStyle w:val="numitem"/>
      </w:pPr>
      <w:r w:rsidRPr="00DA5899">
        <w:t xml:space="preserve">The Elastic Modulus of PU foam confined within the </w:t>
      </w:r>
      <w:r w:rsidR="000236A5">
        <w:t>aluminum</w:t>
      </w:r>
      <w:r w:rsidRPr="00DA5899">
        <w:t xml:space="preserve"> envelope was calculated to be 6900 MPa, corresponding to the slope of the linear elastic region.</w:t>
      </w:r>
    </w:p>
    <w:p w14:paraId="485D0C71" w14:textId="6FF3064C" w:rsidR="001149FB" w:rsidRPr="001149FB" w:rsidRDefault="001149FB" w:rsidP="001149FB">
      <w:pPr>
        <w:pStyle w:val="p1a"/>
      </w:pPr>
      <w:r w:rsidRPr="001149FB">
        <w:lastRenderedPageBreak/>
        <w:t xml:space="preserve">However, in </w:t>
      </w:r>
      <w:r w:rsidR="000236A5">
        <w:t xml:space="preserve">the </w:t>
      </w:r>
      <w:r w:rsidRPr="001149FB">
        <w:t>densification region at D point</w:t>
      </w:r>
      <w:r w:rsidR="000236A5">
        <w:t>,</w:t>
      </w:r>
      <w:r w:rsidRPr="001149FB">
        <w:t xml:space="preserve"> the high-density PU foam confined within </w:t>
      </w:r>
      <w:r w:rsidR="000236A5">
        <w:t>an aluminum</w:t>
      </w:r>
      <w:r w:rsidRPr="001149FB">
        <w:t xml:space="preserve"> circular tube also </w:t>
      </w:r>
      <w:r w:rsidR="000236A5">
        <w:t>provides</w:t>
      </w:r>
      <w:r w:rsidRPr="001149FB">
        <w:t xml:space="preserve"> a stress of 13.8 MPa along with unconfined high-density PU foam demonstrating comparable characteristics with M14 concrete.</w:t>
      </w:r>
    </w:p>
    <w:p w14:paraId="34B338BF" w14:textId="67B8894E" w:rsidR="001149FB" w:rsidRDefault="001149FB" w:rsidP="001149FB">
      <w:pPr>
        <w:pStyle w:val="heading2"/>
      </w:pPr>
      <w:r>
        <w:t xml:space="preserve">Behavior of confined </w:t>
      </w:r>
      <w:r>
        <w:rPr>
          <w:sz w:val="18"/>
          <w:szCs w:val="18"/>
        </w:rPr>
        <w:t xml:space="preserve">high-density </w:t>
      </w:r>
      <w:r>
        <w:t xml:space="preserve">PU foam within </w:t>
      </w:r>
      <w:r w:rsidR="00DE2BB7">
        <w:t>LG</w:t>
      </w:r>
      <w:r>
        <w:t xml:space="preserve"> steel square tube</w:t>
      </w:r>
    </w:p>
    <w:p w14:paraId="546A19C9" w14:textId="45E6D71E" w:rsidR="00CC400E" w:rsidRPr="008744EF" w:rsidRDefault="001149FB" w:rsidP="008744EF">
      <w:pPr>
        <w:pStyle w:val="p1a"/>
      </w:pPr>
      <w:r w:rsidRPr="001149FB">
        <w:t xml:space="preserve">The load versus slip response and computed </w:t>
      </w:r>
      <w:r w:rsidR="000236A5">
        <w:t>stress-strain</w:t>
      </w:r>
      <w:r w:rsidRPr="001149FB">
        <w:t xml:space="preserve"> </w:t>
      </w:r>
      <w:r w:rsidR="000236A5">
        <w:t>behavior</w:t>
      </w:r>
      <w:r w:rsidRPr="001149FB">
        <w:t xml:space="preserve"> for confined high-density PU foam within </w:t>
      </w:r>
      <w:r w:rsidR="005B2343">
        <w:t>LG</w:t>
      </w:r>
      <w:r w:rsidRPr="001149FB">
        <w:t xml:space="preserve"> steel square tubes </w:t>
      </w:r>
      <w:r w:rsidR="00263EA8">
        <w:t>are</w:t>
      </w:r>
      <w:r w:rsidRPr="001149FB">
        <w:t xml:space="preserve"> represented in Fig. 5</w:t>
      </w:r>
      <w:r w:rsidR="005B2343">
        <w:t>(a) and 5(b), respectively</w:t>
      </w:r>
      <w:r w:rsidRPr="001149FB">
        <w:t xml:space="preserve">. </w:t>
      </w:r>
      <w:r w:rsidR="000334DE">
        <w:t>For LG steel square tubes, the wall thickness shows</w:t>
      </w:r>
      <w:r w:rsidR="005B2343">
        <w:t xml:space="preserve"> </w:t>
      </w:r>
      <w:r w:rsidR="000334DE">
        <w:t>significant</w:t>
      </w:r>
      <w:r w:rsidR="005B2343">
        <w:t xml:space="preserve"> </w:t>
      </w:r>
      <w:r w:rsidR="000334DE">
        <w:t xml:space="preserve">variation in bond performance beyond </w:t>
      </w:r>
      <w:r w:rsidR="00263EA8">
        <w:t xml:space="preserve">the </w:t>
      </w:r>
      <w:r w:rsidR="000334DE">
        <w:t>elastic region, attributing to inadequate interactions between LG tube and foam at corners of the square section.</w:t>
      </w:r>
    </w:p>
    <w:p w14:paraId="6DFB810B" w14:textId="6ABF858E" w:rsidR="003F6F37" w:rsidRDefault="003F6F37" w:rsidP="003F6F37">
      <w:pPr>
        <w:pStyle w:val="numitem"/>
        <w:numPr>
          <w:ilvl w:val="0"/>
          <w:numId w:val="0"/>
        </w:numPr>
        <w:jc w:val="center"/>
        <w:rPr>
          <w:lang w:val="en-IN" w:eastAsia="en-IN"/>
        </w:rPr>
      </w:pPr>
      <w:r w:rsidRPr="003F6F37">
        <w:rPr>
          <w:noProof/>
        </w:rPr>
        <w:drawing>
          <wp:inline distT="0" distB="0" distL="0" distR="0" wp14:anchorId="77575DD9" wp14:editId="6A2DAB48">
            <wp:extent cx="3885324" cy="2011680"/>
            <wp:effectExtent l="0" t="0" r="127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85324" cy="2011680"/>
                    </a:xfrm>
                    <a:prstGeom prst="rect">
                      <a:avLst/>
                    </a:prstGeom>
                    <a:noFill/>
                    <a:ln>
                      <a:noFill/>
                    </a:ln>
                  </pic:spPr>
                </pic:pic>
              </a:graphicData>
            </a:graphic>
          </wp:inline>
        </w:drawing>
      </w:r>
    </w:p>
    <w:p w14:paraId="1F1FCE4B" w14:textId="4C5652A0" w:rsidR="00CC400E" w:rsidRDefault="00CC400E" w:rsidP="003F6F37">
      <w:pPr>
        <w:pStyle w:val="figurecaption"/>
      </w:pPr>
      <w:r>
        <w:rPr>
          <w:b/>
        </w:rPr>
        <w:t xml:space="preserve">Fig. </w:t>
      </w:r>
      <w:r w:rsidR="008F171A">
        <w:rPr>
          <w:b/>
        </w:rPr>
        <w:t>5</w:t>
      </w:r>
      <w:r w:rsidR="00556384">
        <w:rPr>
          <w:b/>
        </w:rPr>
        <w:t>(a)</w:t>
      </w:r>
      <w:r>
        <w:rPr>
          <w:b/>
        </w:rPr>
        <w:t>.</w:t>
      </w:r>
      <w:r>
        <w:t xml:space="preserve"> Load-slip </w:t>
      </w:r>
      <w:r w:rsidR="000236A5">
        <w:t>behavior</w:t>
      </w:r>
      <w:r w:rsidR="003F6F37">
        <w:t xml:space="preserve"> </w:t>
      </w:r>
      <w:r>
        <w:t>of confined</w:t>
      </w:r>
      <w:r w:rsidRPr="003A0A93">
        <w:rPr>
          <w:szCs w:val="18"/>
        </w:rPr>
        <w:t xml:space="preserve"> </w:t>
      </w:r>
      <w:r>
        <w:rPr>
          <w:szCs w:val="18"/>
        </w:rPr>
        <w:t>high-density</w:t>
      </w:r>
      <w:r>
        <w:t xml:space="preserve"> PU foam within </w:t>
      </w:r>
      <w:r w:rsidR="001C2D0F">
        <w:t xml:space="preserve">LG </w:t>
      </w:r>
      <w:r>
        <w:t>steel square tube.</w:t>
      </w:r>
    </w:p>
    <w:p w14:paraId="6053782F" w14:textId="2AFC147D" w:rsidR="003F6F37" w:rsidRDefault="003F6F37" w:rsidP="003F6F37">
      <w:pPr>
        <w:pStyle w:val="numitem"/>
        <w:numPr>
          <w:ilvl w:val="0"/>
          <w:numId w:val="0"/>
        </w:numPr>
        <w:jc w:val="center"/>
        <w:rPr>
          <w:lang w:val="en-IN" w:eastAsia="en-IN"/>
        </w:rPr>
      </w:pPr>
      <w:r w:rsidRPr="003F6F37">
        <w:rPr>
          <w:noProof/>
        </w:rPr>
        <w:drawing>
          <wp:inline distT="0" distB="0" distL="0" distR="0" wp14:anchorId="4F42DFC3" wp14:editId="34A19110">
            <wp:extent cx="3887318" cy="20116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87318" cy="2011680"/>
                    </a:xfrm>
                    <a:prstGeom prst="rect">
                      <a:avLst/>
                    </a:prstGeom>
                    <a:noFill/>
                    <a:ln>
                      <a:noFill/>
                    </a:ln>
                  </pic:spPr>
                </pic:pic>
              </a:graphicData>
            </a:graphic>
          </wp:inline>
        </w:drawing>
      </w:r>
    </w:p>
    <w:p w14:paraId="7D369290" w14:textId="664D86C8" w:rsidR="003F6F37" w:rsidRDefault="003F6F37" w:rsidP="003F6F37">
      <w:pPr>
        <w:pStyle w:val="figurecaption"/>
      </w:pPr>
      <w:r>
        <w:rPr>
          <w:b/>
        </w:rPr>
        <w:t xml:space="preserve">Fig. </w:t>
      </w:r>
      <w:r w:rsidR="008F171A">
        <w:rPr>
          <w:b/>
        </w:rPr>
        <w:t>5</w:t>
      </w:r>
      <w:r w:rsidR="00556384">
        <w:rPr>
          <w:b/>
        </w:rPr>
        <w:t>(b)</w:t>
      </w:r>
      <w:r>
        <w:rPr>
          <w:b/>
        </w:rPr>
        <w:t>.</w:t>
      </w:r>
      <w:r>
        <w:t xml:space="preserve"> Stress-strain behavior of confined</w:t>
      </w:r>
      <w:r w:rsidRPr="003A0A93">
        <w:rPr>
          <w:szCs w:val="18"/>
        </w:rPr>
        <w:t xml:space="preserve"> </w:t>
      </w:r>
      <w:r>
        <w:rPr>
          <w:szCs w:val="18"/>
        </w:rPr>
        <w:t>high-density</w:t>
      </w:r>
      <w:r>
        <w:t xml:space="preserve"> PU foam within </w:t>
      </w:r>
      <w:r w:rsidR="001C2D0F">
        <w:t>LG</w:t>
      </w:r>
      <w:r>
        <w:t xml:space="preserve"> steel square tube.</w:t>
      </w:r>
    </w:p>
    <w:p w14:paraId="2239CB72" w14:textId="77777777" w:rsidR="00CC400E" w:rsidRPr="001149FB" w:rsidRDefault="00CC400E" w:rsidP="00CC400E">
      <w:pPr>
        <w:pStyle w:val="p1a"/>
      </w:pPr>
      <w:r w:rsidRPr="001149FB">
        <w:lastRenderedPageBreak/>
        <w:t xml:space="preserve">The </w:t>
      </w:r>
      <w:r w:rsidR="000236A5">
        <w:t>behavior</w:t>
      </w:r>
      <w:r w:rsidRPr="001149FB">
        <w:t xml:space="preserve"> is similar to that observed for confined PU foam within </w:t>
      </w:r>
      <w:r w:rsidR="000236A5">
        <w:t>aluminum</w:t>
      </w:r>
      <w:r w:rsidRPr="001149FB">
        <w:t xml:space="preserve"> circular tubes, though with a slightly reduced elastic region. The measurements were carried out using the same methodology, and </w:t>
      </w:r>
      <w:r w:rsidR="000236A5">
        <w:t xml:space="preserve">the </w:t>
      </w:r>
      <w:r w:rsidRPr="001149FB">
        <w:t>key findings are as follows:</w:t>
      </w:r>
    </w:p>
    <w:p w14:paraId="1E3E90BC" w14:textId="77777777" w:rsidR="00CC400E" w:rsidRPr="001149FB" w:rsidRDefault="00CC400E" w:rsidP="00CC400E">
      <w:pPr>
        <w:pStyle w:val="numitem"/>
        <w:numPr>
          <w:ilvl w:val="0"/>
          <w:numId w:val="16"/>
        </w:numPr>
        <w:rPr>
          <w:lang w:val="en-IN" w:eastAsia="en-IN"/>
        </w:rPr>
      </w:pPr>
      <w:r w:rsidRPr="001149FB">
        <w:rPr>
          <w:lang w:val="en-IN" w:eastAsia="en-IN"/>
        </w:rPr>
        <w:t>Under confinement with steel, a compressive stress of 6.3 MPa was observed at 10% slip. This represented a 1.21 (6.3/5.2) times improvement in compressive stress compared to the unconfined state.</w:t>
      </w:r>
    </w:p>
    <w:p w14:paraId="6143383D" w14:textId="77777777" w:rsidR="00CC400E" w:rsidRPr="00CC400E" w:rsidRDefault="00CC400E" w:rsidP="00CC400E">
      <w:pPr>
        <w:pStyle w:val="numitem"/>
        <w:rPr>
          <w:lang w:val="en-IN" w:eastAsia="en-IN"/>
        </w:rPr>
      </w:pPr>
      <w:r w:rsidRPr="008405C4">
        <w:rPr>
          <w:lang w:val="en-IN" w:eastAsia="en-IN"/>
        </w:rPr>
        <w:t xml:space="preserve">The Elastic Modulus of </w:t>
      </w:r>
      <w:r>
        <w:rPr>
          <w:sz w:val="18"/>
          <w:szCs w:val="18"/>
        </w:rPr>
        <w:t xml:space="preserve">high-density </w:t>
      </w:r>
      <w:r w:rsidRPr="008405C4">
        <w:rPr>
          <w:lang w:val="en-IN" w:eastAsia="en-IN"/>
        </w:rPr>
        <w:t>PU foam confined within the steel envelope was calculated to be 3150 MPa.</w:t>
      </w:r>
    </w:p>
    <w:p w14:paraId="6AD161FC" w14:textId="77777777" w:rsidR="001149FB" w:rsidRPr="001149FB" w:rsidRDefault="001149FB" w:rsidP="001149FB">
      <w:pPr>
        <w:pStyle w:val="p1a"/>
      </w:pPr>
      <w:r w:rsidRPr="001149FB">
        <w:t xml:space="preserve">These observations underscore the effectiveness of confinement in enhancing the compressive properties of high-density PU foam, though the degree of enhancement varies with the type of material used for the tube. </w:t>
      </w:r>
    </w:p>
    <w:p w14:paraId="7DA8FAFA" w14:textId="77777777" w:rsidR="001149FB" w:rsidRDefault="001149FB" w:rsidP="001149FB">
      <w:pPr>
        <w:pStyle w:val="heading2"/>
      </w:pPr>
      <w:r>
        <w:t>Failure mode</w:t>
      </w:r>
    </w:p>
    <w:p w14:paraId="56B14187" w14:textId="77777777" w:rsidR="001149FB" w:rsidRDefault="001149FB" w:rsidP="001149FB">
      <w:pPr>
        <w:pStyle w:val="p1a"/>
      </w:pPr>
      <w:r w:rsidRPr="001149FB">
        <w:t xml:space="preserve">The failure mode following the plateau region and slight densification </w:t>
      </w:r>
      <w:r w:rsidR="000236A5">
        <w:t>illustrate</w:t>
      </w:r>
      <w:r w:rsidRPr="001149FB">
        <w:t xml:space="preserve"> lateral buckling and bulging behavior. The confined high-density PU foam, under compressive stresses, experiences lateral tensile strains, leading to lateral expansion. This failure behavior is depicted in Fig. 6.</w:t>
      </w:r>
    </w:p>
    <w:p w14:paraId="692BC9DB" w14:textId="77777777" w:rsidR="001149FB" w:rsidRPr="001149FB" w:rsidRDefault="001149FB" w:rsidP="001149FB">
      <w:pPr>
        <w:jc w:val="center"/>
      </w:pPr>
      <w:r w:rsidRPr="001149FB">
        <w:rPr>
          <w:noProof/>
        </w:rPr>
        <w:drawing>
          <wp:inline distT="0" distB="0" distL="0" distR="0" wp14:anchorId="0BC1FC86" wp14:editId="2C015428">
            <wp:extent cx="2722356" cy="1645920"/>
            <wp:effectExtent l="0" t="0" r="0" b="0"/>
            <wp:docPr id="95901686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22356" cy="1645920"/>
                    </a:xfrm>
                    <a:prstGeom prst="rect">
                      <a:avLst/>
                    </a:prstGeom>
                    <a:noFill/>
                    <a:ln>
                      <a:noFill/>
                    </a:ln>
                  </pic:spPr>
                </pic:pic>
              </a:graphicData>
            </a:graphic>
          </wp:inline>
        </w:drawing>
      </w:r>
    </w:p>
    <w:p w14:paraId="4FEBD363" w14:textId="4F18D9BE" w:rsidR="001149FB" w:rsidRDefault="001149FB" w:rsidP="001149FB">
      <w:pPr>
        <w:pStyle w:val="figurecaption"/>
      </w:pPr>
      <w:r>
        <w:rPr>
          <w:b/>
        </w:rPr>
        <w:t xml:space="preserve">Fig. </w:t>
      </w:r>
      <w:r w:rsidR="008F171A">
        <w:rPr>
          <w:b/>
        </w:rPr>
        <w:t>6</w:t>
      </w:r>
      <w:r>
        <w:rPr>
          <w:b/>
        </w:rPr>
        <w:t>.</w:t>
      </w:r>
      <w:r>
        <w:t xml:space="preserve"> </w:t>
      </w:r>
      <w:r w:rsidRPr="001149FB">
        <w:t>High-density</w:t>
      </w:r>
      <w:r>
        <w:rPr>
          <w:szCs w:val="18"/>
        </w:rPr>
        <w:t xml:space="preserve"> </w:t>
      </w:r>
      <w:r>
        <w:t xml:space="preserve">PU </w:t>
      </w:r>
      <w:r w:rsidR="000236A5">
        <w:t>foam-filled</w:t>
      </w:r>
      <w:r>
        <w:t xml:space="preserve"> </w:t>
      </w:r>
      <w:r w:rsidR="000236A5">
        <w:t>tube</w:t>
      </w:r>
      <w:r>
        <w:t xml:space="preserve"> </w:t>
      </w:r>
      <w:r w:rsidR="000236A5">
        <w:t>behavior</w:t>
      </w:r>
      <w:r>
        <w:t xml:space="preserve"> at (a) load initiation and (b) failure stage. </w:t>
      </w:r>
    </w:p>
    <w:p w14:paraId="25196E55" w14:textId="77777777" w:rsidR="001149FB" w:rsidRDefault="001149FB" w:rsidP="001149FB">
      <w:pPr>
        <w:pStyle w:val="heading1"/>
      </w:pPr>
      <w:r>
        <w:t>Numerical Investigation</w:t>
      </w:r>
    </w:p>
    <w:p w14:paraId="5BAA85E6" w14:textId="7078B56F" w:rsidR="001149FB" w:rsidRPr="001149FB" w:rsidRDefault="001149FB" w:rsidP="001149FB">
      <w:pPr>
        <w:pStyle w:val="p1a"/>
      </w:pPr>
      <w:r w:rsidRPr="001149FB">
        <w:t xml:space="preserve">Finite element analysis (FEA) was conducted </w:t>
      </w:r>
      <w:r w:rsidR="00E3694D">
        <w:t>using the software ABAQUS 6.14-3</w:t>
      </w:r>
      <w:r w:rsidRPr="001149FB">
        <w:t xml:space="preserve">. </w:t>
      </w:r>
      <w:r w:rsidR="00E3694D">
        <w:t xml:space="preserve">Shell elements were used to model the tubes, while solid elements were used to represent the foam. Specifically, a 2D S4R shell element, where “R” stands for hourglass control within the element, was used to record all six degrees of freedom. </w:t>
      </w:r>
    </w:p>
    <w:p w14:paraId="37DFAC49" w14:textId="01854C57" w:rsidR="001149FB" w:rsidRDefault="001149FB" w:rsidP="001149FB">
      <w:r w:rsidRPr="006C7204">
        <w:rPr>
          <w:lang w:eastAsia="en-IN"/>
        </w:rPr>
        <w:t xml:space="preserve">The foam was </w:t>
      </w:r>
      <w:r w:rsidR="000236A5">
        <w:rPr>
          <w:lang w:eastAsia="en-IN"/>
        </w:rPr>
        <w:t>model</w:t>
      </w:r>
      <w:r w:rsidR="002C0CE4">
        <w:rPr>
          <w:lang w:eastAsia="en-IN"/>
        </w:rPr>
        <w:t>l</w:t>
      </w:r>
      <w:r w:rsidR="000236A5">
        <w:rPr>
          <w:lang w:eastAsia="en-IN"/>
        </w:rPr>
        <w:t>ed</w:t>
      </w:r>
      <w:r w:rsidRPr="006C7204">
        <w:rPr>
          <w:lang w:eastAsia="en-IN"/>
        </w:rPr>
        <w:t xml:space="preserve"> using a C3D8R element type, </w:t>
      </w:r>
      <w:r w:rsidR="002C0CE4" w:rsidRPr="006C7204">
        <w:rPr>
          <w:lang w:eastAsia="en-IN"/>
        </w:rPr>
        <w:t>total</w:t>
      </w:r>
      <w:r w:rsidR="002C0CE4">
        <w:rPr>
          <w:lang w:eastAsia="en-IN"/>
        </w:rPr>
        <w:t>i</w:t>
      </w:r>
      <w:r w:rsidR="002C0CE4" w:rsidRPr="006C7204">
        <w:rPr>
          <w:lang w:eastAsia="en-IN"/>
        </w:rPr>
        <w:t>ng</w:t>
      </w:r>
      <w:r w:rsidRPr="006C7204">
        <w:rPr>
          <w:lang w:eastAsia="en-IN"/>
        </w:rPr>
        <w:t xml:space="preserve"> 693,000 elements.</w:t>
      </w:r>
      <w:r>
        <w:rPr>
          <w:lang w:eastAsia="en-IN"/>
        </w:rPr>
        <w:t xml:space="preserve"> </w:t>
      </w:r>
      <w:r w:rsidR="00E3694D">
        <w:rPr>
          <w:lang w:eastAsia="en-IN"/>
        </w:rPr>
        <w:t xml:space="preserve">Penalty contact exhibiting tangential behaviour was </w:t>
      </w:r>
      <w:r w:rsidR="00EE6A37">
        <w:rPr>
          <w:lang w:eastAsia="en-IN"/>
        </w:rPr>
        <w:t>utilized</w:t>
      </w:r>
      <w:r w:rsidR="00E3694D">
        <w:rPr>
          <w:lang w:eastAsia="en-IN"/>
        </w:rPr>
        <w:t xml:space="preserve"> to model the bonding interface between the foam and the tube. Furthermore, a frictionless tie connection was made between the foam, tube, and stiff plates.</w:t>
      </w:r>
      <w:r w:rsidRPr="006C7204">
        <w:rPr>
          <w:lang w:eastAsia="en-IN"/>
        </w:rPr>
        <w:t xml:space="preserve"> </w:t>
      </w:r>
      <w:r w:rsidR="00E3694D" w:rsidRPr="006C7204">
        <w:rPr>
          <w:lang w:eastAsia="en-IN"/>
        </w:rPr>
        <w:t xml:space="preserve">A dynamic explicit non-linear analysis was performed </w:t>
      </w:r>
      <w:r w:rsidR="00E3694D">
        <w:rPr>
          <w:lang w:eastAsia="en-IN"/>
        </w:rPr>
        <w:t>with t</w:t>
      </w:r>
      <w:r w:rsidRPr="006C7204">
        <w:rPr>
          <w:lang w:eastAsia="en-IN"/>
        </w:rPr>
        <w:t xml:space="preserve">he loading rate </w:t>
      </w:r>
      <w:r w:rsidR="00E3694D">
        <w:rPr>
          <w:lang w:eastAsia="en-IN"/>
        </w:rPr>
        <w:t>of</w:t>
      </w:r>
      <w:r w:rsidRPr="006C7204">
        <w:rPr>
          <w:lang w:eastAsia="en-IN"/>
        </w:rPr>
        <w:t xml:space="preserve"> 100 mm/0.05 sec, and loading continued until </w:t>
      </w:r>
      <w:r w:rsidRPr="006C7204">
        <w:rPr>
          <w:lang w:eastAsia="en-IN"/>
        </w:rPr>
        <w:lastRenderedPageBreak/>
        <w:t>the foam was crushed up to 60% of its length.</w:t>
      </w:r>
      <w:r>
        <w:rPr>
          <w:lang w:eastAsia="en-IN"/>
        </w:rPr>
        <w:t xml:space="preserve"> </w:t>
      </w:r>
      <w:r>
        <w:t>The stages of the finite element analysis are depicted in Fig. 7.</w:t>
      </w:r>
    </w:p>
    <w:p w14:paraId="1AE13D4B" w14:textId="77777777" w:rsidR="001149FB" w:rsidRDefault="001149FB" w:rsidP="001149FB">
      <w:pPr>
        <w:rPr>
          <w:lang w:eastAsia="en-IN"/>
        </w:rPr>
      </w:pPr>
    </w:p>
    <w:p w14:paraId="4DF938BE" w14:textId="77777777" w:rsidR="001149FB" w:rsidRDefault="001149FB" w:rsidP="001149FB">
      <w:pPr>
        <w:rPr>
          <w:lang w:eastAsia="en-IN"/>
        </w:rPr>
      </w:pPr>
      <w:r w:rsidRPr="000A4B48">
        <w:rPr>
          <w:noProof/>
        </w:rPr>
        <w:drawing>
          <wp:inline distT="0" distB="0" distL="0" distR="0" wp14:anchorId="4A065434" wp14:editId="6FD92847">
            <wp:extent cx="4092265" cy="1828800"/>
            <wp:effectExtent l="0" t="0" r="3810" b="0"/>
            <wp:docPr id="10383849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092265" cy="1828800"/>
                    </a:xfrm>
                    <a:prstGeom prst="rect">
                      <a:avLst/>
                    </a:prstGeom>
                    <a:noFill/>
                    <a:ln>
                      <a:noFill/>
                    </a:ln>
                  </pic:spPr>
                </pic:pic>
              </a:graphicData>
            </a:graphic>
          </wp:inline>
        </w:drawing>
      </w:r>
    </w:p>
    <w:p w14:paraId="6D02AA56" w14:textId="73A14BA3" w:rsidR="001149FB" w:rsidRDefault="001149FB" w:rsidP="001149FB">
      <w:pPr>
        <w:pStyle w:val="figurecaption"/>
        <w:jc w:val="both"/>
      </w:pPr>
      <w:r>
        <w:rPr>
          <w:b/>
        </w:rPr>
        <w:t xml:space="preserve">Fig. </w:t>
      </w:r>
      <w:r w:rsidR="008F171A">
        <w:rPr>
          <w:b/>
        </w:rPr>
        <w:t>7</w:t>
      </w:r>
      <w:r>
        <w:rPr>
          <w:b/>
        </w:rPr>
        <w:t>.</w:t>
      </w:r>
      <w:r>
        <w:t xml:space="preserve"> </w:t>
      </w:r>
      <w:r w:rsidRPr="001149FB">
        <w:t>Finite</w:t>
      </w:r>
      <w:r>
        <w:t xml:space="preserve"> Element Model of (a) unconfined </w:t>
      </w:r>
      <w:r>
        <w:rPr>
          <w:szCs w:val="18"/>
        </w:rPr>
        <w:t xml:space="preserve">high-density </w:t>
      </w:r>
      <w:r>
        <w:t xml:space="preserve">PU Foam and (b) (i) </w:t>
      </w:r>
      <w:r>
        <w:rPr>
          <w:szCs w:val="18"/>
        </w:rPr>
        <w:t xml:space="preserve">high-density </w:t>
      </w:r>
      <w:r>
        <w:t xml:space="preserve">PU </w:t>
      </w:r>
      <w:r w:rsidR="000236A5">
        <w:t>Foam-Filled</w:t>
      </w:r>
      <w:r>
        <w:t xml:space="preserve"> Tube for Bond Test, (ii) Before and (iii) After Compression at 30%.</w:t>
      </w:r>
    </w:p>
    <w:p w14:paraId="1A4D92DD" w14:textId="77777777" w:rsidR="001149FB" w:rsidRDefault="001149FB" w:rsidP="001149FB">
      <w:pPr>
        <w:pStyle w:val="p1a"/>
      </w:pPr>
      <w:r w:rsidRPr="001149FB">
        <w:t xml:space="preserve">To validate the experimental findings, the results from the FEA were compared with experimental data, specifically focusing on the load versus slip </w:t>
      </w:r>
      <w:r w:rsidR="000236A5">
        <w:t>behavior</w:t>
      </w:r>
      <w:r w:rsidRPr="001149FB">
        <w:t xml:space="preserve">. Comparative plots for unconfined PU foam and PU foam confined within </w:t>
      </w:r>
      <w:r w:rsidR="000236A5">
        <w:t>aluminum</w:t>
      </w:r>
      <w:r w:rsidRPr="001149FB">
        <w:t xml:space="preserve"> tubes are illustrated in Figs. 8(a) and 8(b), respectively.</w:t>
      </w:r>
    </w:p>
    <w:p w14:paraId="74413E6E" w14:textId="7B542FA1" w:rsidR="001149FB" w:rsidRDefault="00CC400E" w:rsidP="001C2D0F">
      <w:pPr>
        <w:pStyle w:val="p1a"/>
        <w:ind w:firstLine="227"/>
      </w:pPr>
      <w:r w:rsidRPr="00CC400E">
        <w:t xml:space="preserve">Upon observing the above comparative study, it is noted that the FEA results exhibit a slight underestimation for unconfined foam and a slight overestimation for confined high-density PU foam within aluminum tubes compared to experimental findings. These slight variations can be attributed to practical imperfections and residual stresses. Nevertheless, the FEA results demonstrate reasonable accuracy in capturing the structural </w:t>
      </w:r>
      <w:r w:rsidR="000236A5">
        <w:t>behavior</w:t>
      </w:r>
      <w:r w:rsidRPr="00CC400E">
        <w:t xml:space="preserve"> consistent with experimental observations.</w:t>
      </w:r>
    </w:p>
    <w:p w14:paraId="0604EB77" w14:textId="77777777" w:rsidR="001149FB" w:rsidRDefault="001149FB" w:rsidP="001149FB">
      <w:pPr>
        <w:ind w:firstLine="0"/>
      </w:pPr>
      <w:r w:rsidRPr="00804FF9">
        <w:rPr>
          <w:noProof/>
        </w:rPr>
        <w:drawing>
          <wp:inline distT="0" distB="0" distL="0" distR="0" wp14:anchorId="78EB2061" wp14:editId="6F461B5A">
            <wp:extent cx="4392930" cy="1519222"/>
            <wp:effectExtent l="0" t="0" r="7620" b="0"/>
            <wp:docPr id="89915832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92930" cy="1519222"/>
                    </a:xfrm>
                    <a:prstGeom prst="rect">
                      <a:avLst/>
                    </a:prstGeom>
                    <a:noFill/>
                    <a:ln>
                      <a:noFill/>
                    </a:ln>
                  </pic:spPr>
                </pic:pic>
              </a:graphicData>
            </a:graphic>
          </wp:inline>
        </w:drawing>
      </w:r>
    </w:p>
    <w:p w14:paraId="05C9DE1F" w14:textId="580340C2" w:rsidR="001149FB" w:rsidRPr="004A58D4" w:rsidRDefault="001149FB" w:rsidP="001149FB">
      <w:pPr>
        <w:pStyle w:val="figurecaption"/>
        <w:jc w:val="both"/>
      </w:pPr>
      <w:r>
        <w:rPr>
          <w:b/>
        </w:rPr>
        <w:t xml:space="preserve">Fig. </w:t>
      </w:r>
      <w:r w:rsidR="008F171A">
        <w:rPr>
          <w:b/>
        </w:rPr>
        <w:t>8</w:t>
      </w:r>
      <w:r>
        <w:rPr>
          <w:b/>
        </w:rPr>
        <w:t>.</w:t>
      </w:r>
      <w:r>
        <w:t xml:space="preserve"> </w:t>
      </w:r>
      <w:r w:rsidRPr="001149FB">
        <w:t>Comparison</w:t>
      </w:r>
      <w:r w:rsidRPr="004A58D4">
        <w:t xml:space="preserve"> of FEA and Experimental Results for (a) Load-Displacement Behaviour of Unconfined </w:t>
      </w:r>
      <w:r>
        <w:rPr>
          <w:szCs w:val="18"/>
        </w:rPr>
        <w:t xml:space="preserve">high-density </w:t>
      </w:r>
      <w:r w:rsidRPr="004A58D4">
        <w:t xml:space="preserve">PU Foam </w:t>
      </w:r>
      <w:r w:rsidR="000236A5">
        <w:t xml:space="preserve">and </w:t>
      </w:r>
      <w:r w:rsidRPr="004A58D4">
        <w:t xml:space="preserve">(b) Load-Slip Behaviour of Confined </w:t>
      </w:r>
      <w:r>
        <w:rPr>
          <w:szCs w:val="18"/>
        </w:rPr>
        <w:t xml:space="preserve">high-density </w:t>
      </w:r>
      <w:r w:rsidRPr="004A58D4">
        <w:t xml:space="preserve">PU Foam within </w:t>
      </w:r>
      <w:r w:rsidR="000236A5">
        <w:t>aluminum</w:t>
      </w:r>
      <w:r w:rsidRPr="004A58D4">
        <w:t xml:space="preserve"> tubes</w:t>
      </w:r>
      <w:r>
        <w:t>.</w:t>
      </w:r>
    </w:p>
    <w:p w14:paraId="2C5AECFB" w14:textId="77777777" w:rsidR="00CC400E" w:rsidRDefault="00CC400E" w:rsidP="00CC400E">
      <w:pPr>
        <w:pStyle w:val="heading1"/>
      </w:pPr>
      <w:r>
        <w:lastRenderedPageBreak/>
        <w:t>Results and Discussions</w:t>
      </w:r>
    </w:p>
    <w:p w14:paraId="374228FC" w14:textId="77777777" w:rsidR="00CC400E" w:rsidRPr="00CC400E" w:rsidRDefault="00CC400E" w:rsidP="00CC400E">
      <w:pPr>
        <w:pStyle w:val="p1a"/>
      </w:pPr>
      <w:r w:rsidRPr="00CC400E">
        <w:t>The findings from the experimental and numerical investigations are interpreted and discussed in the following points:</w:t>
      </w:r>
    </w:p>
    <w:p w14:paraId="002B102F" w14:textId="77777777" w:rsidR="00CC400E" w:rsidRPr="00CF23BF" w:rsidRDefault="00CC400E" w:rsidP="00CC400E">
      <w:pPr>
        <w:pStyle w:val="numitem"/>
        <w:numPr>
          <w:ilvl w:val="0"/>
          <w:numId w:val="20"/>
        </w:numPr>
      </w:pPr>
      <w:r w:rsidRPr="00CF23BF">
        <w:t xml:space="preserve">The stress ratios between confined and unconfined conditions, greater than 1, indicate enhanced capacity due to triaxial confinement and resisting tangential frictional stresses at the interface. The bond between aluminum and </w:t>
      </w:r>
      <w:r w:rsidRPr="00CC400E">
        <w:rPr>
          <w:sz w:val="18"/>
          <w:szCs w:val="18"/>
        </w:rPr>
        <w:t xml:space="preserve">high-density </w:t>
      </w:r>
      <w:r w:rsidRPr="00CF23BF">
        <w:t xml:space="preserve">PU foam demonstrates superior performance compared to steel and </w:t>
      </w:r>
      <w:r w:rsidRPr="00CC400E">
        <w:rPr>
          <w:sz w:val="18"/>
          <w:szCs w:val="18"/>
        </w:rPr>
        <w:t xml:space="preserve">high-density </w:t>
      </w:r>
      <w:r w:rsidRPr="00CF23BF">
        <w:t xml:space="preserve">PU foam, primarily due to their similar </w:t>
      </w:r>
      <w:r w:rsidR="000236A5">
        <w:t>Poisson</w:t>
      </w:r>
      <w:r w:rsidRPr="00CF23BF">
        <w:t xml:space="preserve"> ratios which mitigate varying bulging effects. Consequently, the improvement in stiffness due to infill is approximately one-third less in steel tubes compared to aluminum tubes, particularly when both are in circular configurations.</w:t>
      </w:r>
    </w:p>
    <w:p w14:paraId="0F189D3D" w14:textId="4348B472" w:rsidR="00CC400E" w:rsidRPr="00CF23BF" w:rsidRDefault="00CC400E" w:rsidP="00CC400E">
      <w:pPr>
        <w:pStyle w:val="numitem"/>
      </w:pPr>
      <w:r w:rsidRPr="00CF23BF">
        <w:t>In comparison to well-established concrete-filled steel tubes, which typically exhibit a confined to unconfined stress ratio of 2 [</w:t>
      </w:r>
      <w:r w:rsidR="003327D7">
        <w:t>1</w:t>
      </w:r>
      <w:r w:rsidRPr="00CF23BF">
        <w:t>7], the aluminum-</w:t>
      </w:r>
      <w:r w:rsidRPr="003A0A93">
        <w:rPr>
          <w:sz w:val="18"/>
          <w:szCs w:val="18"/>
        </w:rPr>
        <w:t xml:space="preserve"> </w:t>
      </w:r>
      <w:r>
        <w:rPr>
          <w:sz w:val="18"/>
          <w:szCs w:val="18"/>
        </w:rPr>
        <w:t xml:space="preserve">high-density </w:t>
      </w:r>
      <w:r w:rsidRPr="00CF23BF">
        <w:t xml:space="preserve">PU foam bond shows a higher ratio of 2.6, indicating superior interface connectivity than steel-concrete bonds. However, the galvanized </w:t>
      </w:r>
      <w:r w:rsidR="000236A5">
        <w:t>steel-</w:t>
      </w:r>
      <w:r w:rsidR="000236A5">
        <w:rPr>
          <w:sz w:val="18"/>
          <w:szCs w:val="18"/>
        </w:rPr>
        <w:t>high-density</w:t>
      </w:r>
      <w:r>
        <w:rPr>
          <w:sz w:val="18"/>
          <w:szCs w:val="18"/>
        </w:rPr>
        <w:t xml:space="preserve"> </w:t>
      </w:r>
      <w:r w:rsidRPr="00CF23BF">
        <w:t xml:space="preserve">PU foam bond exhibits a lower ratio of 1.25, indicating less compatibility. </w:t>
      </w:r>
    </w:p>
    <w:p w14:paraId="3E54EF8C" w14:textId="1735DC5D" w:rsidR="00CC400E" w:rsidRPr="00CF23BF" w:rsidRDefault="00CC400E" w:rsidP="00CC400E">
      <w:pPr>
        <w:pStyle w:val="numitem"/>
      </w:pPr>
      <w:r w:rsidRPr="00CF23BF">
        <w:t xml:space="preserve">Evaluating </w:t>
      </w:r>
      <w:r>
        <w:t>e</w:t>
      </w:r>
      <w:r w:rsidRPr="00CF23BF">
        <w:t xml:space="preserve">lastic </w:t>
      </w:r>
      <w:r>
        <w:t>m</w:t>
      </w:r>
      <w:r w:rsidRPr="00CF23BF">
        <w:t>odulus</w:t>
      </w:r>
      <w:r>
        <w:t xml:space="preserve"> (E)</w:t>
      </w:r>
      <w:r w:rsidRPr="00CF23BF">
        <w:t xml:space="preserve"> compatibility ratios (E</w:t>
      </w:r>
      <w:r w:rsidR="00DF4C99">
        <w:rPr>
          <w:vertAlign w:val="subscript"/>
        </w:rPr>
        <w:t>envelope</w:t>
      </w:r>
      <w:r w:rsidR="00DF4C99">
        <w:t xml:space="preserve"> </w:t>
      </w:r>
      <w:r w:rsidRPr="00CF23BF">
        <w:t>/ E</w:t>
      </w:r>
      <w:r w:rsidR="00DF4C99">
        <w:rPr>
          <w:vertAlign w:val="subscript"/>
        </w:rPr>
        <w:t>infill</w:t>
      </w:r>
      <w:r w:rsidRPr="00CF23BF">
        <w:t xml:space="preserve">), </w:t>
      </w:r>
      <w:r w:rsidR="000236A5">
        <w:t>aluminum-</w:t>
      </w:r>
      <w:r w:rsidR="000236A5">
        <w:rPr>
          <w:sz w:val="18"/>
          <w:szCs w:val="18"/>
        </w:rPr>
        <w:t>high-density</w:t>
      </w:r>
      <w:r>
        <w:rPr>
          <w:sz w:val="18"/>
          <w:szCs w:val="18"/>
        </w:rPr>
        <w:t xml:space="preserve"> </w:t>
      </w:r>
      <w:r w:rsidRPr="00CF23BF">
        <w:t>PU foam demonstrates a ratio of 9.48. This ratio is slightly lower than the steel-concrete ratio of 10.33 but remains favorable for structural applications.</w:t>
      </w:r>
    </w:p>
    <w:p w14:paraId="5B76B384" w14:textId="77777777" w:rsidR="00CC400E" w:rsidRPr="00CF23BF" w:rsidRDefault="00CC400E" w:rsidP="00CC400E">
      <w:pPr>
        <w:pStyle w:val="numitem"/>
      </w:pPr>
      <w:r w:rsidRPr="00CF23BF">
        <w:t>The coefficient of thermal expansion for aluminum is 24 × 10⁻⁶ /°C, for steel is 13 × 10⁻⁶ /°C, and for concrete is 10 × 10⁻⁶ /°C. Polyurethane high-density (greater than 100 kg/m³) in-situ rigid foam has a coefficient of thermal expansion ranging from 24 to 57.6 × 10⁻⁶ /°C. Consequently, high-density polyurethane foam is more compatible with aluminum and nearly compatible with steel in terms of thermal expansion.</w:t>
      </w:r>
    </w:p>
    <w:p w14:paraId="73D1C350" w14:textId="33A8F371" w:rsidR="00CC400E" w:rsidRPr="00CF23BF" w:rsidRDefault="00CC400E" w:rsidP="00CC400E">
      <w:pPr>
        <w:pStyle w:val="numitem"/>
      </w:pPr>
      <w:r w:rsidRPr="00CF23BF">
        <w:t xml:space="preserve">The composite behavior of </w:t>
      </w:r>
      <w:r>
        <w:rPr>
          <w:sz w:val="18"/>
          <w:szCs w:val="18"/>
        </w:rPr>
        <w:t xml:space="preserve">high-density </w:t>
      </w:r>
      <w:r w:rsidRPr="00CF23BF">
        <w:t>PU foam aligns with the investigations by Menges and Knipschild [</w:t>
      </w:r>
      <w:r w:rsidR="003327D7">
        <w:t>1</w:t>
      </w:r>
      <w:r w:rsidRPr="00CF23BF">
        <w:t>8], indicating that its strength is derived from the rearrangement of the cell structure under loading, resembling a space frame.</w:t>
      </w:r>
    </w:p>
    <w:p w14:paraId="513ED7A3" w14:textId="73C2A7D0" w:rsidR="00CC400E" w:rsidRPr="00CC400E" w:rsidRDefault="00B5379E" w:rsidP="00CC400E">
      <w:pPr>
        <w:pStyle w:val="p1a"/>
      </w:pPr>
      <w:r>
        <w:t>Overall, the high-density PU foam infillment for aluminum circular tubes demonstrates higher compatibility than for LG square tubes. However, both tubes offer significant enhancements in compressive, flexural, and bond performance, making them suitable for lightweight to moderate structural applications.</w:t>
      </w:r>
    </w:p>
    <w:p w14:paraId="72E3608D" w14:textId="77777777" w:rsidR="00CC400E" w:rsidRDefault="00CC400E" w:rsidP="00CC400E">
      <w:pPr>
        <w:pStyle w:val="heading1"/>
      </w:pPr>
      <w:r>
        <w:t>Conclusions</w:t>
      </w:r>
    </w:p>
    <w:p w14:paraId="17FC0759" w14:textId="77777777" w:rsidR="00CC400E" w:rsidRPr="00CC400E" w:rsidRDefault="00CC400E" w:rsidP="00CC400E">
      <w:pPr>
        <w:pStyle w:val="p1a"/>
      </w:pPr>
      <w:r w:rsidRPr="00CC400E">
        <w:t>The following conclusions can be stated as a result of this study,</w:t>
      </w:r>
    </w:p>
    <w:p w14:paraId="3AB29A34" w14:textId="77777777" w:rsidR="00CC400E" w:rsidRPr="004A58D4" w:rsidRDefault="00CC400E" w:rsidP="00CC400E">
      <w:pPr>
        <w:pStyle w:val="numitem"/>
        <w:numPr>
          <w:ilvl w:val="0"/>
          <w:numId w:val="21"/>
        </w:numPr>
      </w:pPr>
      <w:r w:rsidRPr="004A58D4">
        <w:t xml:space="preserve">The </w:t>
      </w:r>
      <w:r w:rsidRPr="00CC400E">
        <w:rPr>
          <w:sz w:val="18"/>
        </w:rPr>
        <w:t xml:space="preserve">high-density </w:t>
      </w:r>
      <w:r w:rsidRPr="004A58D4">
        <w:t xml:space="preserve">PU foam-filled tubes exhibit a higher axial load-carrying capacity compared to the combined capacities of the foam alone and the empty tube, indicating robust composite action facilitated by the tube wall and </w:t>
      </w:r>
      <w:r w:rsidRPr="00CC400E">
        <w:rPr>
          <w:sz w:val="18"/>
        </w:rPr>
        <w:t xml:space="preserve">high-density </w:t>
      </w:r>
      <w:r w:rsidRPr="004A58D4">
        <w:t>PU foam bond.</w:t>
      </w:r>
    </w:p>
    <w:p w14:paraId="70D2918F" w14:textId="35AFDA90" w:rsidR="00CC400E" w:rsidRPr="004A58D4" w:rsidRDefault="00B5379E" w:rsidP="00CC400E">
      <w:pPr>
        <w:pStyle w:val="numitem"/>
      </w:pPr>
      <w:r>
        <w:lastRenderedPageBreak/>
        <w:t>High-density PU foam exhibits a much higher short-term compressive strength under confinement than concrete because of its triaxial confinement without micro</w:t>
      </w:r>
      <w:r w:rsidR="00812F60">
        <w:t>-</w:t>
      </w:r>
      <w:r>
        <w:t xml:space="preserve">cracking, highlighting its strong link with the aluminum tube wall. </w:t>
      </w:r>
    </w:p>
    <w:p w14:paraId="5926FE87" w14:textId="77777777" w:rsidR="00CC400E" w:rsidRPr="004A58D4" w:rsidRDefault="00CC400E" w:rsidP="00CC400E">
      <w:pPr>
        <w:pStyle w:val="numitem"/>
      </w:pPr>
      <w:r w:rsidRPr="004A58D4">
        <w:t xml:space="preserve">Circular aluminum tubes show superior bond effects over square steel tubes, attributed to resonating mechanical properties with </w:t>
      </w:r>
      <w:r>
        <w:rPr>
          <w:sz w:val="18"/>
        </w:rPr>
        <w:t xml:space="preserve">high-density </w:t>
      </w:r>
      <w:r w:rsidRPr="004A58D4">
        <w:t>PU foam, notably Poisson's ratio, which mitigates bulging effects.</w:t>
      </w:r>
    </w:p>
    <w:p w14:paraId="47FF6A51" w14:textId="77777777" w:rsidR="00CC400E" w:rsidRPr="004A58D4" w:rsidRDefault="00CC400E" w:rsidP="00CC400E">
      <w:pPr>
        <w:pStyle w:val="numitem"/>
      </w:pPr>
      <w:r>
        <w:rPr>
          <w:sz w:val="18"/>
        </w:rPr>
        <w:t xml:space="preserve">High-density </w:t>
      </w:r>
      <w:r w:rsidRPr="004A58D4">
        <w:t>PU foam-filled steel square tubes also demonstrate notable structural performance improvements, albeit with slightly less compatibility.</w:t>
      </w:r>
    </w:p>
    <w:p w14:paraId="2C9E8722" w14:textId="627959B9" w:rsidR="00CC400E" w:rsidRPr="004A58D4" w:rsidRDefault="00B5379E" w:rsidP="00CC400E">
      <w:pPr>
        <w:pStyle w:val="numitem"/>
      </w:pPr>
      <w:r>
        <w:t xml:space="preserve">The results of finite element analysis match experimental data fairly well, indicating that it may be a more affordable option than conducting extensive experimental testing. </w:t>
      </w:r>
    </w:p>
    <w:p w14:paraId="64D91BC8" w14:textId="54A2388C" w:rsidR="00CC400E" w:rsidRDefault="00CC400E" w:rsidP="00812F60">
      <w:pPr>
        <w:pStyle w:val="p1a"/>
      </w:pPr>
      <w:r w:rsidRPr="00CC400E">
        <w:t xml:space="preserve">In conclusion, the effective bond performance of high-density PU foam-filled tubes validates previous </w:t>
      </w:r>
      <w:r w:rsidR="00717DDC" w:rsidRPr="00CC400E">
        <w:t>studie</w:t>
      </w:r>
      <w:r w:rsidR="00717DDC">
        <w:t>s’</w:t>
      </w:r>
      <w:r w:rsidRPr="00CC400E">
        <w:t xml:space="preserve"> findings on enhanced compression and flexural capacities [1, 2</w:t>
      </w:r>
      <w:r w:rsidR="00717DDC" w:rsidRPr="00CC400E">
        <w:t>]</w:t>
      </w:r>
      <w:r w:rsidR="00717DDC">
        <w:t>.</w:t>
      </w:r>
      <w:r w:rsidR="00717DDC" w:rsidRPr="00CC400E">
        <w:t xml:space="preserve"> These</w:t>
      </w:r>
      <w:r w:rsidRPr="00CC400E">
        <w:t xml:space="preserve"> lightweight tubes, combined with on-site foam injection for enhanced load-carrying capabilities, are particularly suited for dynamic environments such as those encountered by the Indian armed forces. </w:t>
      </w:r>
      <w:r w:rsidR="00C376E5">
        <w:t>Due to their efficient bonding and composite behavior, they also find applications in structural components like bracings, solar panel supports, and lightweight shelters</w:t>
      </w:r>
      <w:r w:rsidRPr="00CC400E">
        <w:t>.</w:t>
      </w:r>
      <w:r w:rsidR="00812F60">
        <w:t xml:space="preserve"> </w:t>
      </w:r>
      <w:r w:rsidR="00717DDC">
        <w:t xml:space="preserve">Further research </w:t>
      </w:r>
      <w:r w:rsidR="00C376E5">
        <w:t>on LG square tubes</w:t>
      </w:r>
      <w:r w:rsidR="00812F60">
        <w:t>,</w:t>
      </w:r>
      <w:r w:rsidR="00C376E5">
        <w:t xml:space="preserve"> </w:t>
      </w:r>
      <w:r w:rsidR="00812F60">
        <w:t>such as</w:t>
      </w:r>
      <w:r w:rsidR="00717DDC">
        <w:t xml:space="preserve"> introducing the ribs to improve </w:t>
      </w:r>
      <w:r w:rsidR="00263EA8">
        <w:t>their</w:t>
      </w:r>
      <w:r w:rsidR="00717DDC">
        <w:t xml:space="preserve"> bond </w:t>
      </w:r>
      <w:r w:rsidR="00263EA8">
        <w:t>behavior</w:t>
      </w:r>
      <w:r w:rsidR="00812F60">
        <w:t>, is recommended</w:t>
      </w:r>
      <w:r w:rsidR="00717DDC">
        <w:t>. Nevertheless, t</w:t>
      </w:r>
      <w:r w:rsidRPr="00DB4C76">
        <w:t xml:space="preserve">his study underscores the advantages </w:t>
      </w:r>
      <w:r w:rsidR="00B5379E">
        <w:t>of composite tubes filled with high-density PU foam</w:t>
      </w:r>
      <w:r w:rsidR="00C376E5">
        <w:t>. The insights gained contribute significantly to advancing lightweight, high-strength structural applications, </w:t>
      </w:r>
      <w:r w:rsidRPr="00DB4C76">
        <w:t>enhancing structural resilience and operational effectiveness.</w:t>
      </w:r>
    </w:p>
    <w:p w14:paraId="7566E6F4" w14:textId="77777777" w:rsidR="00CC400E" w:rsidRDefault="00CC400E" w:rsidP="00CC400E">
      <w:pPr>
        <w:pStyle w:val="heading1"/>
        <w:numPr>
          <w:ilvl w:val="0"/>
          <w:numId w:val="0"/>
        </w:numPr>
        <w:ind w:left="567" w:hanging="567"/>
      </w:pPr>
      <w:r>
        <w:t>References</w:t>
      </w:r>
    </w:p>
    <w:p w14:paraId="07B72823" w14:textId="4C4FE579" w:rsidR="00CC400E" w:rsidRPr="00CC400E" w:rsidRDefault="00CC400E" w:rsidP="00185950">
      <w:pPr>
        <w:pStyle w:val="referenceitem"/>
      </w:pPr>
      <w:r w:rsidRPr="00CC400E">
        <w:t xml:space="preserve">Padmaja, M., Murty, V. V. V. S., &amp; Rao, N. R. (2021). </w:t>
      </w:r>
      <w:r w:rsidR="000236A5">
        <w:t>Quasi-static</w:t>
      </w:r>
      <w:r w:rsidRPr="00CC400E">
        <w:t xml:space="preserve"> axial compression of empty and PU </w:t>
      </w:r>
      <w:r w:rsidR="000236A5">
        <w:t>foam-filled</w:t>
      </w:r>
      <w:r w:rsidRPr="00CC400E">
        <w:t xml:space="preserve"> circular aluminum and light gauge square steel tubes. Materials Today: Proceedings, 43, 2342-2347.</w:t>
      </w:r>
      <w:r w:rsidR="008F0EC7">
        <w:t xml:space="preserve"> Doi:</w:t>
      </w:r>
      <w:r w:rsidR="008F0EC7" w:rsidRPr="008F0EC7">
        <w:t xml:space="preserve"> 10.1016/j.matpr.2021.01.680</w:t>
      </w:r>
    </w:p>
    <w:p w14:paraId="188B862F" w14:textId="28BB2B5D" w:rsidR="00CC400E" w:rsidRPr="00CC400E" w:rsidRDefault="00CC400E" w:rsidP="00185950">
      <w:pPr>
        <w:pStyle w:val="referenceitem"/>
      </w:pPr>
      <w:r w:rsidRPr="00CC400E">
        <w:t xml:space="preserve">Mantena, P., Murty, V. V. V. S., &amp; Rao, N. R. (2022). Flexural strength of composite high-density polyurethane </w:t>
      </w:r>
      <w:r w:rsidR="00263EA8">
        <w:t>foam-filled</w:t>
      </w:r>
      <w:r w:rsidRPr="00CC400E">
        <w:t xml:space="preserve"> light gauge square steel tubes. Materials Today: Proceedings, 51, 2403-2410.</w:t>
      </w:r>
      <w:r w:rsidR="008F0EC7">
        <w:t xml:space="preserve"> Doi:</w:t>
      </w:r>
      <w:r w:rsidR="008F0EC7" w:rsidRPr="008F0EC7">
        <w:t xml:space="preserve"> 10.1016/j.matpr.2021.11.591</w:t>
      </w:r>
    </w:p>
    <w:p w14:paraId="1F184088" w14:textId="71C2B034" w:rsidR="007336E8" w:rsidRPr="00EF24A2" w:rsidRDefault="007336E8" w:rsidP="007336E8">
      <w:pPr>
        <w:pStyle w:val="referenceitem"/>
      </w:pPr>
      <w:r w:rsidRPr="00EF24A2">
        <w:t>Padmaja, M., Murty, V. V. V. S., &amp; Ramana Rao, N. V. (2019). Comparative structural performance of composite filled tubes. International Journal for Computational Methods in Engineering Science and Mechanics, 20(6), 477-486.</w:t>
      </w:r>
      <w:r w:rsidR="008F0EC7">
        <w:t xml:space="preserve"> Doi:</w:t>
      </w:r>
      <w:hyperlink r:id="rId18" w:history="1">
        <w:r w:rsidR="008F0EC7" w:rsidRPr="008F0EC7">
          <w:t>10.1080/15502287.2018.1534160</w:t>
        </w:r>
      </w:hyperlink>
    </w:p>
    <w:p w14:paraId="638362BD" w14:textId="7814E2CF" w:rsidR="00CC400E" w:rsidRPr="00CC400E" w:rsidRDefault="00CC400E" w:rsidP="00185950">
      <w:pPr>
        <w:pStyle w:val="referenceitem"/>
      </w:pPr>
      <w:r w:rsidRPr="00CC400E">
        <w:t xml:space="preserve">Zhang, C. J., Feng, Y., &amp; Zhang, X. B. (2010). Mechanical properties and energy absorption properties of aluminum </w:t>
      </w:r>
      <w:r w:rsidR="00C376E5">
        <w:t>foam-filled</w:t>
      </w:r>
      <w:r w:rsidRPr="00CC400E">
        <w:t xml:space="preserve"> square tubes. Transactions of Nonferrous Metals Society of China, 20, 1380-1386.</w:t>
      </w:r>
      <w:r w:rsidR="008F0EC7">
        <w:t xml:space="preserve"> Doi: </w:t>
      </w:r>
      <w:hyperlink r:id="rId19" w:tgtFrame="_blank" w:tooltip="Persistent link using digital object identifier" w:history="1">
        <w:r w:rsidR="008F0EC7" w:rsidRPr="008F0EC7">
          <w:t>10.1016/S1003-6326(09)60308-3</w:t>
        </w:r>
      </w:hyperlink>
    </w:p>
    <w:p w14:paraId="497F8A98" w14:textId="77777777" w:rsidR="00D7295D" w:rsidRDefault="00CC400E" w:rsidP="00D7295D">
      <w:pPr>
        <w:pStyle w:val="referenceitem"/>
      </w:pPr>
      <w:proofErr w:type="spellStart"/>
      <w:r w:rsidRPr="00CC400E">
        <w:t>Linul</w:t>
      </w:r>
      <w:proofErr w:type="spellEnd"/>
      <w:r w:rsidRPr="00CC400E">
        <w:t xml:space="preserve">, E., </w:t>
      </w:r>
      <w:proofErr w:type="spellStart"/>
      <w:r w:rsidRPr="00CC400E">
        <w:t>Marsavina</w:t>
      </w:r>
      <w:proofErr w:type="spellEnd"/>
      <w:r w:rsidRPr="00CC400E">
        <w:t>, L., Apostol, D. A., Constantinescu, D., &amp; Sadowski, T. (2012). Effect of density, loading rate, material orientation and temperature on dynamic compression behaviour of rigid polyurethane foams. In Proceedings of the 10th International Conference on Foam Materials &amp; Technology (CD ROM), Barcelona.</w:t>
      </w:r>
    </w:p>
    <w:p w14:paraId="3298DC59" w14:textId="58C2F00A" w:rsidR="00CC400E" w:rsidRPr="00CC400E" w:rsidRDefault="00CC400E" w:rsidP="00D7295D">
      <w:pPr>
        <w:pStyle w:val="referenceitem"/>
      </w:pPr>
      <w:r w:rsidRPr="00CC400E">
        <w:t xml:space="preserve">Saint-Michel, F., </w:t>
      </w:r>
      <w:proofErr w:type="spellStart"/>
      <w:r w:rsidRPr="00CC400E">
        <w:t>Chazeau</w:t>
      </w:r>
      <w:proofErr w:type="spellEnd"/>
      <w:r w:rsidRPr="00CC400E">
        <w:t>, L., Cavaille, J. Y., &amp; Chabert, E. (2006). Mechanical properties of high-density polyurethane foams: I. Effect of the density. Composites Science and Technology, 66, 2700-2708.</w:t>
      </w:r>
      <w:r w:rsidR="00D7295D">
        <w:t xml:space="preserve"> Doi: </w:t>
      </w:r>
      <w:hyperlink r:id="rId20" w:tgtFrame="_blank" w:tooltip="Persistent link using digital object identifier" w:history="1">
        <w:r w:rsidR="00D7295D" w:rsidRPr="00D7295D">
          <w:rPr>
            <w:lang w:val="en-IN" w:eastAsia="en-IN"/>
          </w:rPr>
          <w:t>10.1016/j.compscitech.2006.03.009</w:t>
        </w:r>
      </w:hyperlink>
    </w:p>
    <w:p w14:paraId="2D49FFDA" w14:textId="77777777" w:rsidR="00CC400E" w:rsidRPr="00CC400E" w:rsidRDefault="00CC400E" w:rsidP="00185950">
      <w:pPr>
        <w:pStyle w:val="referenceitem"/>
      </w:pPr>
      <w:proofErr w:type="spellStart"/>
      <w:r w:rsidRPr="00CC400E">
        <w:lastRenderedPageBreak/>
        <w:t>Onsalung</w:t>
      </w:r>
      <w:proofErr w:type="spellEnd"/>
      <w:r w:rsidRPr="00CC400E">
        <w:t xml:space="preserve">, N., </w:t>
      </w:r>
      <w:proofErr w:type="spellStart"/>
      <w:r w:rsidRPr="00CC400E">
        <w:t>Thinvongpituk</w:t>
      </w:r>
      <w:proofErr w:type="spellEnd"/>
      <w:r w:rsidRPr="00CC400E">
        <w:t xml:space="preserve">, C., &amp; </w:t>
      </w:r>
      <w:proofErr w:type="spellStart"/>
      <w:r w:rsidRPr="00CC400E">
        <w:t>Painthong</w:t>
      </w:r>
      <w:proofErr w:type="spellEnd"/>
      <w:r w:rsidRPr="00CC400E">
        <w:t>, K. (2010). The influence of foam density on specific energy absorption of rectangular steel tubes. Energy Research Journal, 1(2), 135-140.</w:t>
      </w:r>
    </w:p>
    <w:p w14:paraId="3F326704" w14:textId="3867C998" w:rsidR="00D7295D" w:rsidRDefault="00CC400E" w:rsidP="00D7295D">
      <w:pPr>
        <w:pStyle w:val="referenceitem"/>
      </w:pPr>
      <w:r w:rsidRPr="00CC400E">
        <w:t>Virdi, et al. (1980). Bond strength in concrete</w:t>
      </w:r>
      <w:r w:rsidR="002C0CE4">
        <w:t>-</w:t>
      </w:r>
      <w:r w:rsidRPr="00CC400E">
        <w:t>filled steel tubes. IABSE Proceedings P-33/80, 4.</w:t>
      </w:r>
    </w:p>
    <w:p w14:paraId="64EDB4E3" w14:textId="77777777" w:rsidR="00D7295D" w:rsidRPr="00D7295D" w:rsidRDefault="00D7295D" w:rsidP="00D7295D">
      <w:pPr>
        <w:pStyle w:val="referenceitem"/>
      </w:pPr>
      <w:r w:rsidRPr="00D7295D">
        <w:t>Tao, Z., Song, T. Y., Uy, B., &amp; Han, L. H. (2016). Bond behavior in concrete-filled steel tubes. Journal of Constructional Steel Research, 120, 81-93.</w:t>
      </w:r>
      <w:r>
        <w:t xml:space="preserve"> Doi: </w:t>
      </w:r>
      <w:hyperlink r:id="rId21" w:tgtFrame="_blank" w:tooltip="Persistent link using digital object identifier" w:history="1">
        <w:r w:rsidRPr="00D7295D">
          <w:rPr>
            <w:lang w:val="en-IN" w:eastAsia="en-IN"/>
          </w:rPr>
          <w:t>10.1016/j.jcsr.2015.12.030</w:t>
        </w:r>
      </w:hyperlink>
    </w:p>
    <w:p w14:paraId="5D2D0123" w14:textId="3EFF585D" w:rsidR="00CC400E" w:rsidRPr="00CC400E" w:rsidRDefault="00CC400E" w:rsidP="00D7295D">
      <w:pPr>
        <w:pStyle w:val="referenceitem"/>
      </w:pPr>
      <w:r w:rsidRPr="00CC400E">
        <w:t>Santosa, S., &amp; Wierzbicki, T. (1999). Effect of an ultralight metal filler on the bending collapse behaviour of thin-walled prismatic columns. International Journal of Mechanical Sciences, 41, 995-1019.</w:t>
      </w:r>
      <w:r w:rsidR="00D7295D">
        <w:t xml:space="preserve"> Doi: </w:t>
      </w:r>
      <w:hyperlink r:id="rId22" w:tgtFrame="_blank" w:tooltip="Persistent link using digital object identifier" w:history="1">
        <w:r w:rsidR="00D7295D" w:rsidRPr="00D7295D">
          <w:rPr>
            <w:lang w:val="en-IN" w:eastAsia="en-IN"/>
          </w:rPr>
          <w:t>10.1016/S0020-7403(98)00066-6</w:t>
        </w:r>
      </w:hyperlink>
    </w:p>
    <w:p w14:paraId="22918F1B" w14:textId="77CD75D6" w:rsidR="00CC400E" w:rsidRPr="00CC400E" w:rsidRDefault="00CC400E" w:rsidP="00185950">
      <w:pPr>
        <w:pStyle w:val="referenceitem"/>
      </w:pPr>
      <w:r w:rsidRPr="00CC400E">
        <w:t xml:space="preserve">Hanssen, A. G., Hopperstad, O. S., &amp; Langseth, M. (2000). Bending of square </w:t>
      </w:r>
      <w:proofErr w:type="spellStart"/>
      <w:r w:rsidRPr="00CC400E">
        <w:t>aluminium</w:t>
      </w:r>
      <w:proofErr w:type="spellEnd"/>
      <w:r w:rsidRPr="00CC400E">
        <w:t xml:space="preserve"> extrusions with </w:t>
      </w:r>
      <w:proofErr w:type="spellStart"/>
      <w:r w:rsidRPr="00CC400E">
        <w:t>aluminium</w:t>
      </w:r>
      <w:proofErr w:type="spellEnd"/>
      <w:r w:rsidRPr="00CC400E">
        <w:t xml:space="preserve"> foam filler. Acta </w:t>
      </w:r>
      <w:proofErr w:type="spellStart"/>
      <w:r w:rsidRPr="00CC400E">
        <w:t>Mechanica</w:t>
      </w:r>
      <w:proofErr w:type="spellEnd"/>
      <w:r w:rsidRPr="00CC400E">
        <w:t>, 142, 13-31.</w:t>
      </w:r>
      <w:r w:rsidR="00D7295D">
        <w:t xml:space="preserve"> Doi: </w:t>
      </w:r>
      <w:r w:rsidR="00D7295D" w:rsidRPr="00D7295D">
        <w:t>10.1007/BF01190010</w:t>
      </w:r>
      <w:r w:rsidR="00D7295D">
        <w:t>.</w:t>
      </w:r>
    </w:p>
    <w:p w14:paraId="452BCE28" w14:textId="4636D9C4" w:rsidR="00CC400E" w:rsidRPr="00CC400E" w:rsidRDefault="00CC400E" w:rsidP="00185950">
      <w:pPr>
        <w:pStyle w:val="referenceitem"/>
      </w:pPr>
      <w:r w:rsidRPr="00CC400E">
        <w:t>Hanssen, A. G., Langseth, M., &amp; Hopperstad, O. S. (2002). Crash behaviour of foam-based components: Validation of numerical simulations. Advanced Engineering Materials, 4(10), 771-776.</w:t>
      </w:r>
      <w:r w:rsidR="00D7295D">
        <w:t xml:space="preserve"> Doi: </w:t>
      </w:r>
      <w:hyperlink r:id="rId23" w:history="1">
        <w:r w:rsidR="00D7295D" w:rsidRPr="00D7295D">
          <w:t>10.1002/1527-2648(20021014)4:10&lt;</w:t>
        </w:r>
        <w:r w:rsidR="00EE6A37" w:rsidRPr="00D7295D">
          <w:t>771: AID</w:t>
        </w:r>
        <w:r w:rsidR="00D7295D" w:rsidRPr="00D7295D">
          <w:t>-ADEM771&gt;3.0.CO;2-Y</w:t>
        </w:r>
      </w:hyperlink>
    </w:p>
    <w:p w14:paraId="3C90BC15" w14:textId="77777777" w:rsidR="00CC400E" w:rsidRPr="00CC400E" w:rsidRDefault="00CC400E" w:rsidP="00185950">
      <w:pPr>
        <w:pStyle w:val="referenceitem"/>
      </w:pPr>
      <w:r w:rsidRPr="00CC400E">
        <w:t>American Society for Testing and Materials. (2011). ASTM A653: Standard specification for steel sheet, zinc-coated (galvanized) or zinc-iron alloy-coated (galvannealed</w:t>
      </w:r>
      <w:bookmarkStart w:id="0" w:name="_GoBack"/>
      <w:bookmarkEnd w:id="0"/>
      <w:r w:rsidRPr="00CC400E">
        <w:t>) by the hot-dip process. West Conshohocken.</w:t>
      </w:r>
    </w:p>
    <w:p w14:paraId="178C4C85" w14:textId="77777777" w:rsidR="00CC400E" w:rsidRPr="00CC400E" w:rsidRDefault="00CC400E" w:rsidP="00185950">
      <w:pPr>
        <w:pStyle w:val="referenceitem"/>
      </w:pPr>
      <w:r w:rsidRPr="00CC400E">
        <w:t>American Society for Testing and Materials. (2016). ASTM A370-2016: Standard test methods and definitions for mechanical testing of steel products.</w:t>
      </w:r>
    </w:p>
    <w:p w14:paraId="7C604A74" w14:textId="12C56CEC" w:rsidR="00CC400E" w:rsidRPr="00CC400E" w:rsidRDefault="00CC400E" w:rsidP="00185950">
      <w:pPr>
        <w:pStyle w:val="referenceitem"/>
      </w:pPr>
      <w:r w:rsidRPr="00CC400E">
        <w:t>American Society for Testing and Materials. (</w:t>
      </w:r>
      <w:r w:rsidR="00C376E5">
        <w:t>2023</w:t>
      </w:r>
      <w:r w:rsidRPr="00CC400E">
        <w:t>). ASTM D1621: Standard test method for compressive properties of rigid cellular plastics.</w:t>
      </w:r>
    </w:p>
    <w:p w14:paraId="15153091" w14:textId="77777777" w:rsidR="00CC400E" w:rsidRPr="00CC400E" w:rsidRDefault="00CC400E" w:rsidP="00185950">
      <w:pPr>
        <w:pStyle w:val="referenceitem"/>
      </w:pPr>
      <w:r w:rsidRPr="00CC400E">
        <w:t>American Society for Testing and Materials. (2017). ASTM D3574-2017: Standard test methods for flexible cellular materials.</w:t>
      </w:r>
    </w:p>
    <w:p w14:paraId="68F4D7DB" w14:textId="77777777" w:rsidR="00CC400E" w:rsidRPr="00CC400E" w:rsidRDefault="00CC400E" w:rsidP="00185950">
      <w:pPr>
        <w:pStyle w:val="referenceitem"/>
      </w:pPr>
      <w:r w:rsidRPr="00CC400E">
        <w:t>Murty, V. V. V. S. (1993). Strength &amp; behavior of light gauge steel-concrete composite members and their joints (Doctoral dissertation). Indian Institute of Technology, Kharagpur.</w:t>
      </w:r>
    </w:p>
    <w:p w14:paraId="1409DAB5" w14:textId="0A5F038E" w:rsidR="00CC400E" w:rsidRPr="00CC400E" w:rsidRDefault="00D7295D" w:rsidP="00185950">
      <w:pPr>
        <w:pStyle w:val="referenceitem"/>
      </w:pPr>
      <w:r w:rsidRPr="00D7295D">
        <w:t>Menges, G., &amp; Knipschild, F. (1975). Estimation of mechanical properties for rigid polyurethane foams. Polymer Engineering &amp; Science, 15(8), 623-627</w:t>
      </w:r>
      <w:r w:rsidR="00CC400E" w:rsidRPr="00CC400E">
        <w:t>.</w:t>
      </w:r>
      <w:r>
        <w:t xml:space="preserve"> Doi: </w:t>
      </w:r>
      <w:hyperlink r:id="rId24" w:history="1">
        <w:r w:rsidRPr="00D7295D">
          <w:t>10.1002/pen.760150810</w:t>
        </w:r>
      </w:hyperlink>
    </w:p>
    <w:p w14:paraId="591805AE" w14:textId="77777777" w:rsidR="00CC400E" w:rsidRPr="00CC400E" w:rsidRDefault="00CC400E" w:rsidP="00CC400E">
      <w:pPr>
        <w:pStyle w:val="p1a"/>
      </w:pPr>
    </w:p>
    <w:sectPr w:rsidR="00CC400E" w:rsidRPr="00CC400E" w:rsidSect="009F7FCE">
      <w:headerReference w:type="even" r:id="rId25"/>
      <w:headerReference w:type="default" r:id="rId26"/>
      <w:pgSz w:w="11906" w:h="16838" w:code="9"/>
      <w:pgMar w:top="2948" w:right="2494" w:bottom="2948" w:left="2494" w:header="2381" w:footer="2324" w:gutter="0"/>
      <w:cols w:space="227"/>
      <w:titlePg/>
      <w:docGrid w:linePitch="24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029C26" w14:textId="77777777" w:rsidR="00EF2552" w:rsidRDefault="00EF2552">
      <w:r>
        <w:separator/>
      </w:r>
    </w:p>
  </w:endnote>
  <w:endnote w:type="continuationSeparator" w:id="0">
    <w:p w14:paraId="1FAB9E69" w14:textId="77777777" w:rsidR="00EF2552" w:rsidRDefault="00EF25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B7B7AB" w14:textId="77777777" w:rsidR="00EF2552" w:rsidRDefault="00EF2552" w:rsidP="009F7FCE">
      <w:pPr>
        <w:ind w:firstLine="0"/>
      </w:pPr>
      <w:r>
        <w:separator/>
      </w:r>
    </w:p>
  </w:footnote>
  <w:footnote w:type="continuationSeparator" w:id="0">
    <w:p w14:paraId="26AEB9B1" w14:textId="77777777" w:rsidR="00EF2552" w:rsidRDefault="00EF2552" w:rsidP="009F7FCE">
      <w:pPr>
        <w:ind w:firstLin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6B8F3A" w14:textId="77777777" w:rsidR="009B2539" w:rsidRDefault="009B2539" w:rsidP="00F321B4">
    <w:pPr>
      <w:pStyle w:val="Header"/>
    </w:pPr>
    <w:r>
      <w:fldChar w:fldCharType="begin"/>
    </w:r>
    <w:r>
      <w:instrText>PAGE   \* MERGEFORMAT</w:instrText>
    </w:r>
    <w:r>
      <w:fldChar w:fldCharType="separate"/>
    </w:r>
    <w:r w:rsidR="00DC2CA9">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8830B2" w14:textId="77777777" w:rsidR="002D48C5" w:rsidRDefault="002D48C5" w:rsidP="002D48C5">
    <w:pPr>
      <w:pStyle w:val="Header"/>
      <w:jc w:val="right"/>
    </w:pPr>
    <w:r>
      <w:fldChar w:fldCharType="begin"/>
    </w:r>
    <w:r>
      <w:instrText>PAGE   \* MERGEFORMAT</w:instrText>
    </w:r>
    <w:r>
      <w:fldChar w:fldCharType="separate"/>
    </w:r>
    <w:r w:rsidR="001A02F0">
      <w:rPr>
        <w:noProof/>
      </w:rPr>
      <w:t>3</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A5A61"/>
    <w:multiLevelType w:val="multilevel"/>
    <w:tmpl w:val="89E0C508"/>
    <w:lvl w:ilvl="0">
      <w:start w:val="1"/>
      <w:numFmt w:val="decimal"/>
      <w:lvlText w:val="%1."/>
      <w:lvlJc w:val="left"/>
      <w:pPr>
        <w:ind w:left="-3600" w:hanging="360"/>
      </w:pPr>
    </w:lvl>
    <w:lvl w:ilvl="1">
      <w:start w:val="2"/>
      <w:numFmt w:val="decimal"/>
      <w:isLgl/>
      <w:lvlText w:val="%1.%2."/>
      <w:lvlJc w:val="left"/>
      <w:pPr>
        <w:ind w:left="-3960" w:hanging="360"/>
      </w:pPr>
      <w:rPr>
        <w:rFonts w:cstheme="majorBidi" w:hint="default"/>
      </w:rPr>
    </w:lvl>
    <w:lvl w:ilvl="2">
      <w:start w:val="1"/>
      <w:numFmt w:val="decimal"/>
      <w:isLgl/>
      <w:lvlText w:val="%1.%2.%3."/>
      <w:lvlJc w:val="left"/>
      <w:pPr>
        <w:ind w:left="-3240" w:hanging="720"/>
      </w:pPr>
      <w:rPr>
        <w:rFonts w:cstheme="majorBidi" w:hint="default"/>
      </w:rPr>
    </w:lvl>
    <w:lvl w:ilvl="3">
      <w:start w:val="1"/>
      <w:numFmt w:val="decimal"/>
      <w:isLgl/>
      <w:lvlText w:val="%1.%2.%3.%4."/>
      <w:lvlJc w:val="left"/>
      <w:pPr>
        <w:ind w:left="-3240" w:hanging="720"/>
      </w:pPr>
      <w:rPr>
        <w:rFonts w:cstheme="majorBidi" w:hint="default"/>
      </w:rPr>
    </w:lvl>
    <w:lvl w:ilvl="4">
      <w:start w:val="1"/>
      <w:numFmt w:val="decimal"/>
      <w:isLgl/>
      <w:lvlText w:val="%1.%2.%3.%4.%5."/>
      <w:lvlJc w:val="left"/>
      <w:pPr>
        <w:ind w:left="-2880" w:hanging="1080"/>
      </w:pPr>
      <w:rPr>
        <w:rFonts w:cstheme="majorBidi" w:hint="default"/>
      </w:rPr>
    </w:lvl>
    <w:lvl w:ilvl="5">
      <w:start w:val="1"/>
      <w:numFmt w:val="decimal"/>
      <w:isLgl/>
      <w:lvlText w:val="%1.%2.%3.%4.%5.%6."/>
      <w:lvlJc w:val="left"/>
      <w:pPr>
        <w:ind w:left="-2880" w:hanging="1080"/>
      </w:pPr>
      <w:rPr>
        <w:rFonts w:cstheme="majorBidi" w:hint="default"/>
      </w:rPr>
    </w:lvl>
    <w:lvl w:ilvl="6">
      <w:start w:val="1"/>
      <w:numFmt w:val="decimal"/>
      <w:isLgl/>
      <w:lvlText w:val="%1.%2.%3.%4.%5.%6.%7."/>
      <w:lvlJc w:val="left"/>
      <w:pPr>
        <w:ind w:left="-2520" w:hanging="1440"/>
      </w:pPr>
      <w:rPr>
        <w:rFonts w:cstheme="majorBidi" w:hint="default"/>
      </w:rPr>
    </w:lvl>
    <w:lvl w:ilvl="7">
      <w:start w:val="1"/>
      <w:numFmt w:val="decimal"/>
      <w:isLgl/>
      <w:lvlText w:val="%1.%2.%3.%4.%5.%6.%7.%8."/>
      <w:lvlJc w:val="left"/>
      <w:pPr>
        <w:ind w:left="-2520" w:hanging="1440"/>
      </w:pPr>
      <w:rPr>
        <w:rFonts w:cstheme="majorBidi" w:hint="default"/>
      </w:rPr>
    </w:lvl>
    <w:lvl w:ilvl="8">
      <w:start w:val="1"/>
      <w:numFmt w:val="decimal"/>
      <w:isLgl/>
      <w:lvlText w:val="%1.%2.%3.%4.%5.%6.%7.%8.%9."/>
      <w:lvlJc w:val="left"/>
      <w:pPr>
        <w:ind w:left="-2160" w:hanging="1800"/>
      </w:pPr>
      <w:rPr>
        <w:rFonts w:cstheme="majorBidi" w:hint="default"/>
      </w:rPr>
    </w:lvl>
  </w:abstractNum>
  <w:abstractNum w:abstractNumId="1" w15:restartNumberingAfterBreak="0">
    <w:nsid w:val="1DB90219"/>
    <w:multiLevelType w:val="hybridMultilevel"/>
    <w:tmpl w:val="225CA3E6"/>
    <w:lvl w:ilvl="0" w:tplc="AC40AFFE">
      <w:start w:val="1"/>
      <w:numFmt w:val="lowerLetter"/>
      <w:lvlText w:val="(%1)"/>
      <w:lvlJc w:val="left"/>
      <w:pPr>
        <w:ind w:left="1235" w:hanging="360"/>
      </w:pPr>
      <w:rPr>
        <w:rFonts w:hint="default"/>
      </w:rPr>
    </w:lvl>
    <w:lvl w:ilvl="1" w:tplc="40090019" w:tentative="1">
      <w:start w:val="1"/>
      <w:numFmt w:val="lowerLetter"/>
      <w:lvlText w:val="%2."/>
      <w:lvlJc w:val="left"/>
      <w:pPr>
        <w:ind w:left="1955" w:hanging="360"/>
      </w:pPr>
    </w:lvl>
    <w:lvl w:ilvl="2" w:tplc="4009001B" w:tentative="1">
      <w:start w:val="1"/>
      <w:numFmt w:val="lowerRoman"/>
      <w:lvlText w:val="%3."/>
      <w:lvlJc w:val="right"/>
      <w:pPr>
        <w:ind w:left="2675" w:hanging="180"/>
      </w:pPr>
    </w:lvl>
    <w:lvl w:ilvl="3" w:tplc="4009000F" w:tentative="1">
      <w:start w:val="1"/>
      <w:numFmt w:val="decimal"/>
      <w:lvlText w:val="%4."/>
      <w:lvlJc w:val="left"/>
      <w:pPr>
        <w:ind w:left="3395" w:hanging="360"/>
      </w:pPr>
    </w:lvl>
    <w:lvl w:ilvl="4" w:tplc="40090019" w:tentative="1">
      <w:start w:val="1"/>
      <w:numFmt w:val="lowerLetter"/>
      <w:lvlText w:val="%5."/>
      <w:lvlJc w:val="left"/>
      <w:pPr>
        <w:ind w:left="4115" w:hanging="360"/>
      </w:pPr>
    </w:lvl>
    <w:lvl w:ilvl="5" w:tplc="4009001B" w:tentative="1">
      <w:start w:val="1"/>
      <w:numFmt w:val="lowerRoman"/>
      <w:lvlText w:val="%6."/>
      <w:lvlJc w:val="right"/>
      <w:pPr>
        <w:ind w:left="4835" w:hanging="180"/>
      </w:pPr>
    </w:lvl>
    <w:lvl w:ilvl="6" w:tplc="4009000F" w:tentative="1">
      <w:start w:val="1"/>
      <w:numFmt w:val="decimal"/>
      <w:lvlText w:val="%7."/>
      <w:lvlJc w:val="left"/>
      <w:pPr>
        <w:ind w:left="5555" w:hanging="360"/>
      </w:pPr>
    </w:lvl>
    <w:lvl w:ilvl="7" w:tplc="40090019" w:tentative="1">
      <w:start w:val="1"/>
      <w:numFmt w:val="lowerLetter"/>
      <w:lvlText w:val="%8."/>
      <w:lvlJc w:val="left"/>
      <w:pPr>
        <w:ind w:left="6275" w:hanging="360"/>
      </w:pPr>
    </w:lvl>
    <w:lvl w:ilvl="8" w:tplc="4009001B" w:tentative="1">
      <w:start w:val="1"/>
      <w:numFmt w:val="lowerRoman"/>
      <w:lvlText w:val="%9."/>
      <w:lvlJc w:val="right"/>
      <w:pPr>
        <w:ind w:left="6995" w:hanging="180"/>
      </w:pPr>
    </w:lvl>
  </w:abstractNum>
  <w:abstractNum w:abstractNumId="2" w15:restartNumberingAfterBreak="0">
    <w:nsid w:val="1F397F84"/>
    <w:multiLevelType w:val="multilevel"/>
    <w:tmpl w:val="77162394"/>
    <w:styleLink w:val="itemization1"/>
    <w:lvl w:ilvl="0">
      <w:start w:val="1"/>
      <w:numFmt w:val="bullet"/>
      <w:pStyle w:val="bulletitem"/>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Times New Roman" w:hAnsi="Times New Roman" w:cs="Times New Roman" w:hint="default"/>
      </w:rPr>
    </w:lvl>
    <w:lvl w:ilvl="2">
      <w:start w:val="1"/>
      <w:numFmt w:val="bullet"/>
      <w:lvlText w:val="o"/>
      <w:lvlJc w:val="left"/>
      <w:pPr>
        <w:tabs>
          <w:tab w:val="num" w:pos="680"/>
        </w:tabs>
        <w:ind w:left="680" w:hanging="226"/>
      </w:pPr>
      <w:rPr>
        <w:rFonts w:ascii="Courier New" w:hAnsi="Courier New" w:hint="default"/>
      </w:rPr>
    </w:lvl>
    <w:lvl w:ilvl="3">
      <w:start w:val="1"/>
      <w:numFmt w:val="bullet"/>
      <w:lvlText w:val=""/>
      <w:lvlJc w:val="left"/>
      <w:pPr>
        <w:tabs>
          <w:tab w:val="num" w:pos="907"/>
        </w:tabs>
        <w:ind w:left="907" w:hanging="227"/>
      </w:pPr>
      <w:rPr>
        <w:rFonts w:ascii="Wingdings" w:hAnsi="Wingdings" w:hint="default"/>
      </w:rPr>
    </w:lvl>
    <w:lvl w:ilvl="4">
      <w:start w:val="1"/>
      <w:numFmt w:val="bullet"/>
      <w:lvlText w:val="o"/>
      <w:lvlJc w:val="left"/>
      <w:pPr>
        <w:tabs>
          <w:tab w:val="num" w:pos="1134"/>
        </w:tabs>
        <w:ind w:left="1134" w:hanging="227"/>
      </w:pPr>
      <w:rPr>
        <w:rFonts w:ascii="Courier New" w:hAnsi="Courier New" w:hint="default"/>
      </w:rPr>
    </w:lvl>
    <w:lvl w:ilvl="5">
      <w:start w:val="1"/>
      <w:numFmt w:val="bullet"/>
      <w:lvlText w:val=""/>
      <w:lvlJc w:val="left"/>
      <w:pPr>
        <w:tabs>
          <w:tab w:val="num" w:pos="1361"/>
        </w:tabs>
        <w:ind w:left="1361" w:hanging="227"/>
      </w:pPr>
      <w:rPr>
        <w:rFonts w:ascii="Wingdings" w:hAnsi="Wingdings"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o"/>
      <w:lvlJc w:val="left"/>
      <w:pPr>
        <w:tabs>
          <w:tab w:val="num" w:pos="1814"/>
        </w:tabs>
        <w:ind w:left="1814" w:hanging="226"/>
      </w:pPr>
      <w:rPr>
        <w:rFonts w:ascii="Courier New" w:hAnsi="Courier New" w:hint="default"/>
      </w:rPr>
    </w:lvl>
    <w:lvl w:ilvl="8">
      <w:start w:val="1"/>
      <w:numFmt w:val="bullet"/>
      <w:lvlText w:val=""/>
      <w:lvlJc w:val="left"/>
      <w:pPr>
        <w:tabs>
          <w:tab w:val="num" w:pos="2041"/>
        </w:tabs>
        <w:ind w:left="2041" w:hanging="227"/>
      </w:pPr>
      <w:rPr>
        <w:rFonts w:ascii="Wingdings" w:hAnsi="Wingdings" w:hint="default"/>
      </w:rPr>
    </w:lvl>
  </w:abstractNum>
  <w:abstractNum w:abstractNumId="3" w15:restartNumberingAfterBreak="0">
    <w:nsid w:val="3798726D"/>
    <w:multiLevelType w:val="hybridMultilevel"/>
    <w:tmpl w:val="A100E66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3969364D"/>
    <w:multiLevelType w:val="hybridMultilevel"/>
    <w:tmpl w:val="D4E01534"/>
    <w:lvl w:ilvl="0" w:tplc="0409000F">
      <w:start w:val="1"/>
      <w:numFmt w:val="decimal"/>
      <w:lvlText w:val="%1."/>
      <w:lvlJc w:val="left"/>
      <w:pPr>
        <w:ind w:left="965" w:hanging="360"/>
      </w:pPr>
    </w:lvl>
    <w:lvl w:ilvl="1" w:tplc="04090019" w:tentative="1">
      <w:start w:val="1"/>
      <w:numFmt w:val="lowerLetter"/>
      <w:lvlText w:val="%2."/>
      <w:lvlJc w:val="left"/>
      <w:pPr>
        <w:ind w:left="1685" w:hanging="360"/>
      </w:pPr>
    </w:lvl>
    <w:lvl w:ilvl="2" w:tplc="0409001B" w:tentative="1">
      <w:start w:val="1"/>
      <w:numFmt w:val="lowerRoman"/>
      <w:lvlText w:val="%3."/>
      <w:lvlJc w:val="right"/>
      <w:pPr>
        <w:ind w:left="2405" w:hanging="180"/>
      </w:pPr>
    </w:lvl>
    <w:lvl w:ilvl="3" w:tplc="0409000F" w:tentative="1">
      <w:start w:val="1"/>
      <w:numFmt w:val="decimal"/>
      <w:lvlText w:val="%4."/>
      <w:lvlJc w:val="left"/>
      <w:pPr>
        <w:ind w:left="3125" w:hanging="360"/>
      </w:pPr>
    </w:lvl>
    <w:lvl w:ilvl="4" w:tplc="04090019" w:tentative="1">
      <w:start w:val="1"/>
      <w:numFmt w:val="lowerLetter"/>
      <w:lvlText w:val="%5."/>
      <w:lvlJc w:val="left"/>
      <w:pPr>
        <w:ind w:left="3845" w:hanging="360"/>
      </w:pPr>
    </w:lvl>
    <w:lvl w:ilvl="5" w:tplc="0409001B" w:tentative="1">
      <w:start w:val="1"/>
      <w:numFmt w:val="lowerRoman"/>
      <w:lvlText w:val="%6."/>
      <w:lvlJc w:val="right"/>
      <w:pPr>
        <w:ind w:left="4565" w:hanging="180"/>
      </w:pPr>
    </w:lvl>
    <w:lvl w:ilvl="6" w:tplc="0409000F" w:tentative="1">
      <w:start w:val="1"/>
      <w:numFmt w:val="decimal"/>
      <w:lvlText w:val="%7."/>
      <w:lvlJc w:val="left"/>
      <w:pPr>
        <w:ind w:left="5285" w:hanging="360"/>
      </w:pPr>
    </w:lvl>
    <w:lvl w:ilvl="7" w:tplc="04090019" w:tentative="1">
      <w:start w:val="1"/>
      <w:numFmt w:val="lowerLetter"/>
      <w:lvlText w:val="%8."/>
      <w:lvlJc w:val="left"/>
      <w:pPr>
        <w:ind w:left="6005" w:hanging="360"/>
      </w:pPr>
    </w:lvl>
    <w:lvl w:ilvl="8" w:tplc="0409001B" w:tentative="1">
      <w:start w:val="1"/>
      <w:numFmt w:val="lowerRoman"/>
      <w:lvlText w:val="%9."/>
      <w:lvlJc w:val="right"/>
      <w:pPr>
        <w:ind w:left="6725" w:hanging="180"/>
      </w:pPr>
    </w:lvl>
  </w:abstractNum>
  <w:abstractNum w:abstractNumId="5" w15:restartNumberingAfterBreak="0">
    <w:nsid w:val="499E763A"/>
    <w:multiLevelType w:val="hybridMultilevel"/>
    <w:tmpl w:val="B1A6A458"/>
    <w:lvl w:ilvl="0" w:tplc="68EA5AEC">
      <w:start w:val="2"/>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4A7B244D"/>
    <w:multiLevelType w:val="multilevel"/>
    <w:tmpl w:val="89E0C508"/>
    <w:lvl w:ilvl="0">
      <w:start w:val="1"/>
      <w:numFmt w:val="decimal"/>
      <w:lvlText w:val="%1."/>
      <w:lvlJc w:val="left"/>
      <w:pPr>
        <w:ind w:left="720" w:hanging="360"/>
      </w:pPr>
    </w:lvl>
    <w:lvl w:ilvl="1">
      <w:start w:val="2"/>
      <w:numFmt w:val="decimal"/>
      <w:isLgl/>
      <w:lvlText w:val="%1.%2."/>
      <w:lvlJc w:val="left"/>
      <w:pPr>
        <w:ind w:left="360" w:hanging="360"/>
      </w:pPr>
      <w:rPr>
        <w:rFonts w:cstheme="majorBidi" w:hint="default"/>
      </w:rPr>
    </w:lvl>
    <w:lvl w:ilvl="2">
      <w:start w:val="1"/>
      <w:numFmt w:val="decimal"/>
      <w:isLgl/>
      <w:lvlText w:val="%1.%2.%3."/>
      <w:lvlJc w:val="left"/>
      <w:pPr>
        <w:ind w:left="1080" w:hanging="720"/>
      </w:pPr>
      <w:rPr>
        <w:rFonts w:cstheme="majorBidi" w:hint="default"/>
      </w:rPr>
    </w:lvl>
    <w:lvl w:ilvl="3">
      <w:start w:val="1"/>
      <w:numFmt w:val="decimal"/>
      <w:isLgl/>
      <w:lvlText w:val="%1.%2.%3.%4."/>
      <w:lvlJc w:val="left"/>
      <w:pPr>
        <w:ind w:left="1080" w:hanging="720"/>
      </w:pPr>
      <w:rPr>
        <w:rFonts w:cstheme="majorBidi" w:hint="default"/>
      </w:rPr>
    </w:lvl>
    <w:lvl w:ilvl="4">
      <w:start w:val="1"/>
      <w:numFmt w:val="decimal"/>
      <w:isLgl/>
      <w:lvlText w:val="%1.%2.%3.%4.%5."/>
      <w:lvlJc w:val="left"/>
      <w:pPr>
        <w:ind w:left="1440" w:hanging="1080"/>
      </w:pPr>
      <w:rPr>
        <w:rFonts w:cstheme="majorBidi" w:hint="default"/>
      </w:rPr>
    </w:lvl>
    <w:lvl w:ilvl="5">
      <w:start w:val="1"/>
      <w:numFmt w:val="decimal"/>
      <w:isLgl/>
      <w:lvlText w:val="%1.%2.%3.%4.%5.%6."/>
      <w:lvlJc w:val="left"/>
      <w:pPr>
        <w:ind w:left="1440" w:hanging="1080"/>
      </w:pPr>
      <w:rPr>
        <w:rFonts w:cstheme="majorBidi" w:hint="default"/>
      </w:rPr>
    </w:lvl>
    <w:lvl w:ilvl="6">
      <w:start w:val="1"/>
      <w:numFmt w:val="decimal"/>
      <w:isLgl/>
      <w:lvlText w:val="%1.%2.%3.%4.%5.%6.%7."/>
      <w:lvlJc w:val="left"/>
      <w:pPr>
        <w:ind w:left="1800" w:hanging="1440"/>
      </w:pPr>
      <w:rPr>
        <w:rFonts w:cstheme="majorBidi" w:hint="default"/>
      </w:rPr>
    </w:lvl>
    <w:lvl w:ilvl="7">
      <w:start w:val="1"/>
      <w:numFmt w:val="decimal"/>
      <w:isLgl/>
      <w:lvlText w:val="%1.%2.%3.%4.%5.%6.%7.%8."/>
      <w:lvlJc w:val="left"/>
      <w:pPr>
        <w:ind w:left="1800" w:hanging="1440"/>
      </w:pPr>
      <w:rPr>
        <w:rFonts w:cstheme="majorBidi" w:hint="default"/>
      </w:rPr>
    </w:lvl>
    <w:lvl w:ilvl="8">
      <w:start w:val="1"/>
      <w:numFmt w:val="decimal"/>
      <w:isLgl/>
      <w:lvlText w:val="%1.%2.%3.%4.%5.%6.%7.%8.%9."/>
      <w:lvlJc w:val="left"/>
      <w:pPr>
        <w:ind w:left="2160" w:hanging="1800"/>
      </w:pPr>
      <w:rPr>
        <w:rFonts w:cstheme="majorBidi" w:hint="default"/>
      </w:rPr>
    </w:lvl>
  </w:abstractNum>
  <w:abstractNum w:abstractNumId="7" w15:restartNumberingAfterBreak="0">
    <w:nsid w:val="4AA265C6"/>
    <w:multiLevelType w:val="hybridMultilevel"/>
    <w:tmpl w:val="7E90EBCE"/>
    <w:lvl w:ilvl="0" w:tplc="617A0358">
      <w:start w:val="1"/>
      <w:numFmt w:val="lowerLetter"/>
      <w:lvlText w:val="(%1)"/>
      <w:lvlJc w:val="left"/>
      <w:pPr>
        <w:ind w:left="2196" w:hanging="360"/>
      </w:pPr>
      <w:rPr>
        <w:rFonts w:hint="default"/>
      </w:rPr>
    </w:lvl>
    <w:lvl w:ilvl="1" w:tplc="40090019" w:tentative="1">
      <w:start w:val="1"/>
      <w:numFmt w:val="lowerLetter"/>
      <w:lvlText w:val="%2."/>
      <w:lvlJc w:val="left"/>
      <w:pPr>
        <w:ind w:left="2916" w:hanging="360"/>
      </w:pPr>
    </w:lvl>
    <w:lvl w:ilvl="2" w:tplc="4009001B" w:tentative="1">
      <w:start w:val="1"/>
      <w:numFmt w:val="lowerRoman"/>
      <w:lvlText w:val="%3."/>
      <w:lvlJc w:val="right"/>
      <w:pPr>
        <w:ind w:left="3636" w:hanging="180"/>
      </w:pPr>
    </w:lvl>
    <w:lvl w:ilvl="3" w:tplc="4009000F" w:tentative="1">
      <w:start w:val="1"/>
      <w:numFmt w:val="decimal"/>
      <w:lvlText w:val="%4."/>
      <w:lvlJc w:val="left"/>
      <w:pPr>
        <w:ind w:left="4356" w:hanging="360"/>
      </w:pPr>
    </w:lvl>
    <w:lvl w:ilvl="4" w:tplc="40090019" w:tentative="1">
      <w:start w:val="1"/>
      <w:numFmt w:val="lowerLetter"/>
      <w:lvlText w:val="%5."/>
      <w:lvlJc w:val="left"/>
      <w:pPr>
        <w:ind w:left="5076" w:hanging="360"/>
      </w:pPr>
    </w:lvl>
    <w:lvl w:ilvl="5" w:tplc="4009001B" w:tentative="1">
      <w:start w:val="1"/>
      <w:numFmt w:val="lowerRoman"/>
      <w:lvlText w:val="%6."/>
      <w:lvlJc w:val="right"/>
      <w:pPr>
        <w:ind w:left="5796" w:hanging="180"/>
      </w:pPr>
    </w:lvl>
    <w:lvl w:ilvl="6" w:tplc="4009000F" w:tentative="1">
      <w:start w:val="1"/>
      <w:numFmt w:val="decimal"/>
      <w:lvlText w:val="%7."/>
      <w:lvlJc w:val="left"/>
      <w:pPr>
        <w:ind w:left="6516" w:hanging="360"/>
      </w:pPr>
    </w:lvl>
    <w:lvl w:ilvl="7" w:tplc="40090019" w:tentative="1">
      <w:start w:val="1"/>
      <w:numFmt w:val="lowerLetter"/>
      <w:lvlText w:val="%8."/>
      <w:lvlJc w:val="left"/>
      <w:pPr>
        <w:ind w:left="7236" w:hanging="360"/>
      </w:pPr>
    </w:lvl>
    <w:lvl w:ilvl="8" w:tplc="4009001B" w:tentative="1">
      <w:start w:val="1"/>
      <w:numFmt w:val="lowerRoman"/>
      <w:lvlText w:val="%9."/>
      <w:lvlJc w:val="right"/>
      <w:pPr>
        <w:ind w:left="7956" w:hanging="180"/>
      </w:pPr>
    </w:lvl>
  </w:abstractNum>
  <w:abstractNum w:abstractNumId="8" w15:restartNumberingAfterBreak="0">
    <w:nsid w:val="56205803"/>
    <w:multiLevelType w:val="multilevel"/>
    <w:tmpl w:val="1E2855A8"/>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0"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9" w15:restartNumberingAfterBreak="0">
    <w:nsid w:val="56D16A0C"/>
    <w:multiLevelType w:val="hybridMultilevel"/>
    <w:tmpl w:val="293E8244"/>
    <w:lvl w:ilvl="0" w:tplc="0409000F">
      <w:start w:val="1"/>
      <w:numFmt w:val="decimal"/>
      <w:lvlText w:val="%1."/>
      <w:lvlJc w:val="left"/>
      <w:pPr>
        <w:ind w:left="965" w:hanging="360"/>
      </w:pPr>
    </w:lvl>
    <w:lvl w:ilvl="1" w:tplc="04090019" w:tentative="1">
      <w:start w:val="1"/>
      <w:numFmt w:val="lowerLetter"/>
      <w:lvlText w:val="%2."/>
      <w:lvlJc w:val="left"/>
      <w:pPr>
        <w:ind w:left="1685" w:hanging="360"/>
      </w:pPr>
    </w:lvl>
    <w:lvl w:ilvl="2" w:tplc="0409001B" w:tentative="1">
      <w:start w:val="1"/>
      <w:numFmt w:val="lowerRoman"/>
      <w:lvlText w:val="%3."/>
      <w:lvlJc w:val="right"/>
      <w:pPr>
        <w:ind w:left="2405" w:hanging="180"/>
      </w:pPr>
    </w:lvl>
    <w:lvl w:ilvl="3" w:tplc="0409000F" w:tentative="1">
      <w:start w:val="1"/>
      <w:numFmt w:val="decimal"/>
      <w:lvlText w:val="%4."/>
      <w:lvlJc w:val="left"/>
      <w:pPr>
        <w:ind w:left="3125" w:hanging="360"/>
      </w:pPr>
    </w:lvl>
    <w:lvl w:ilvl="4" w:tplc="04090019" w:tentative="1">
      <w:start w:val="1"/>
      <w:numFmt w:val="lowerLetter"/>
      <w:lvlText w:val="%5."/>
      <w:lvlJc w:val="left"/>
      <w:pPr>
        <w:ind w:left="3845" w:hanging="360"/>
      </w:pPr>
    </w:lvl>
    <w:lvl w:ilvl="5" w:tplc="0409001B" w:tentative="1">
      <w:start w:val="1"/>
      <w:numFmt w:val="lowerRoman"/>
      <w:lvlText w:val="%6."/>
      <w:lvlJc w:val="right"/>
      <w:pPr>
        <w:ind w:left="4565" w:hanging="180"/>
      </w:pPr>
    </w:lvl>
    <w:lvl w:ilvl="6" w:tplc="0409000F" w:tentative="1">
      <w:start w:val="1"/>
      <w:numFmt w:val="decimal"/>
      <w:lvlText w:val="%7."/>
      <w:lvlJc w:val="left"/>
      <w:pPr>
        <w:ind w:left="5285" w:hanging="360"/>
      </w:pPr>
    </w:lvl>
    <w:lvl w:ilvl="7" w:tplc="04090019" w:tentative="1">
      <w:start w:val="1"/>
      <w:numFmt w:val="lowerLetter"/>
      <w:lvlText w:val="%8."/>
      <w:lvlJc w:val="left"/>
      <w:pPr>
        <w:ind w:left="6005" w:hanging="360"/>
      </w:pPr>
    </w:lvl>
    <w:lvl w:ilvl="8" w:tplc="0409001B" w:tentative="1">
      <w:start w:val="1"/>
      <w:numFmt w:val="lowerRoman"/>
      <w:lvlText w:val="%9."/>
      <w:lvlJc w:val="right"/>
      <w:pPr>
        <w:ind w:left="6725" w:hanging="180"/>
      </w:pPr>
    </w:lvl>
  </w:abstractNum>
  <w:abstractNum w:abstractNumId="10" w15:restartNumberingAfterBreak="0">
    <w:nsid w:val="6F404C9F"/>
    <w:multiLevelType w:val="multilevel"/>
    <w:tmpl w:val="BEDA5F46"/>
    <w:styleLink w:val="itemization2"/>
    <w:lvl w:ilvl="0">
      <w:start w:val="1"/>
      <w:numFmt w:val="bullet"/>
      <w:pStyle w:val="dashitem"/>
      <w:lvlText w:val="─"/>
      <w:lvlJc w:val="left"/>
      <w:pPr>
        <w:tabs>
          <w:tab w:val="num" w:pos="227"/>
        </w:tabs>
        <w:ind w:left="227" w:hanging="227"/>
      </w:pPr>
      <w:rPr>
        <w:rFonts w:ascii="Times New Roman" w:hAnsi="Times New Roman" w:cs="Times New Roman" w:hint="default"/>
      </w:rPr>
    </w:lvl>
    <w:lvl w:ilvl="1">
      <w:start w:val="1"/>
      <w:numFmt w:val="bullet"/>
      <w:lvlText w:val=""/>
      <w:lvlJc w:val="left"/>
      <w:pPr>
        <w:tabs>
          <w:tab w:val="num" w:pos="454"/>
        </w:tabs>
        <w:ind w:left="454" w:hanging="227"/>
      </w:pPr>
      <w:rPr>
        <w:rFonts w:ascii="Symbol" w:hAnsi="Symbol" w:hint="default"/>
      </w:rPr>
    </w:lvl>
    <w:lvl w:ilvl="2">
      <w:start w:val="1"/>
      <w:numFmt w:val="bullet"/>
      <w:lvlText w:val="○"/>
      <w:lvlJc w:val="left"/>
      <w:pPr>
        <w:tabs>
          <w:tab w:val="num" w:pos="680"/>
        </w:tabs>
        <w:ind w:left="680" w:hanging="226"/>
      </w:pPr>
      <w:rPr>
        <w:rFonts w:ascii="Times New Roman" w:hAnsi="Times New Roman" w:cs="Times New Roman" w:hint="default"/>
      </w:rPr>
    </w:lvl>
    <w:lvl w:ilvl="3">
      <w:start w:val="1"/>
      <w:numFmt w:val="bullet"/>
      <w:lvlText w:val="■"/>
      <w:lvlJc w:val="left"/>
      <w:pPr>
        <w:tabs>
          <w:tab w:val="num" w:pos="907"/>
        </w:tabs>
        <w:ind w:left="907" w:hanging="227"/>
      </w:pPr>
      <w:rPr>
        <w:rFonts w:ascii="Times New Roman" w:hAnsi="Times New Roman" w:cs="Times New Roman" w:hint="default"/>
      </w:rPr>
    </w:lvl>
    <w:lvl w:ilvl="4">
      <w:start w:val="1"/>
      <w:numFmt w:val="bullet"/>
      <w:lvlText w:val="○"/>
      <w:lvlJc w:val="left"/>
      <w:pPr>
        <w:tabs>
          <w:tab w:val="num" w:pos="1134"/>
        </w:tabs>
        <w:ind w:left="1134" w:hanging="227"/>
      </w:pPr>
      <w:rPr>
        <w:rFonts w:ascii="Times New Roman" w:hAnsi="Times New Roman" w:cs="Times New Roman" w:hint="default"/>
      </w:rPr>
    </w:lvl>
    <w:lvl w:ilvl="5">
      <w:start w:val="1"/>
      <w:numFmt w:val="bullet"/>
      <w:lvlText w:val="■"/>
      <w:lvlJc w:val="left"/>
      <w:pPr>
        <w:tabs>
          <w:tab w:val="num" w:pos="1361"/>
        </w:tabs>
        <w:ind w:left="1361" w:hanging="227"/>
      </w:pPr>
      <w:rPr>
        <w:rFonts w:ascii="Times New Roman" w:hAnsi="Times New Roman" w:cs="Times New Roman"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
      <w:lvlJc w:val="left"/>
      <w:pPr>
        <w:tabs>
          <w:tab w:val="num" w:pos="1814"/>
        </w:tabs>
        <w:ind w:left="1814" w:hanging="226"/>
      </w:pPr>
      <w:rPr>
        <w:rFonts w:ascii="Times New Roman" w:hAnsi="Times New Roman" w:cs="Times New Roman" w:hint="default"/>
      </w:rPr>
    </w:lvl>
    <w:lvl w:ilvl="8">
      <w:start w:val="1"/>
      <w:numFmt w:val="bullet"/>
      <w:lvlText w:val="■"/>
      <w:lvlJc w:val="left"/>
      <w:pPr>
        <w:tabs>
          <w:tab w:val="num" w:pos="2041"/>
        </w:tabs>
        <w:ind w:left="2041" w:hanging="227"/>
      </w:pPr>
      <w:rPr>
        <w:rFonts w:ascii="Times New Roman" w:hAnsi="Times New Roman" w:cs="Times New Roman" w:hint="default"/>
      </w:rPr>
    </w:lvl>
  </w:abstractNum>
  <w:abstractNum w:abstractNumId="11" w15:restartNumberingAfterBreak="0">
    <w:nsid w:val="7738779A"/>
    <w:multiLevelType w:val="multilevel"/>
    <w:tmpl w:val="77EC1FB2"/>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7B274BC8"/>
    <w:multiLevelType w:val="multilevel"/>
    <w:tmpl w:val="72E65396"/>
    <w:styleLink w:val="arabnumitem"/>
    <w:lvl w:ilvl="0">
      <w:start w:val="1"/>
      <w:numFmt w:val="decimal"/>
      <w:lvlRestart w:val="0"/>
      <w:pStyle w:val="numitem"/>
      <w:lvlText w:val="%1."/>
      <w:lvlJc w:val="right"/>
      <w:pPr>
        <w:tabs>
          <w:tab w:val="num" w:pos="0"/>
        </w:tabs>
        <w:ind w:left="227" w:hanging="57"/>
      </w:pPr>
      <w:rPr>
        <w:rFonts w:hint="default"/>
      </w:rPr>
    </w:lvl>
    <w:lvl w:ilvl="1">
      <w:start w:val="1"/>
      <w:numFmt w:val="lowerLetter"/>
      <w:lvlText w:val="%2."/>
      <w:lvlJc w:val="left"/>
      <w:pPr>
        <w:tabs>
          <w:tab w:val="num" w:pos="227"/>
        </w:tabs>
        <w:ind w:left="454" w:hanging="227"/>
      </w:pPr>
      <w:rPr>
        <w:rFonts w:hint="default"/>
      </w:rPr>
    </w:lvl>
    <w:lvl w:ilvl="2">
      <w:start w:val="1"/>
      <w:numFmt w:val="decimal"/>
      <w:lvlText w:val="(%3)"/>
      <w:lvlJc w:val="left"/>
      <w:pPr>
        <w:tabs>
          <w:tab w:val="num" w:pos="454"/>
        </w:tabs>
        <w:ind w:left="794" w:hanging="340"/>
      </w:pPr>
      <w:rPr>
        <w:rFonts w:hint="default"/>
      </w:rPr>
    </w:lvl>
    <w:lvl w:ilvl="3">
      <w:start w:val="1"/>
      <w:numFmt w:val="lowerRoman"/>
      <w:lvlText w:val="%4."/>
      <w:lvlJc w:val="left"/>
      <w:pPr>
        <w:tabs>
          <w:tab w:val="num" w:pos="794"/>
        </w:tabs>
        <w:ind w:left="1077" w:hanging="283"/>
      </w:pPr>
      <w:rPr>
        <w:rFonts w:hint="default"/>
      </w:rPr>
    </w:lvl>
    <w:lvl w:ilvl="4">
      <w:start w:val="1"/>
      <w:numFmt w:val="lowerLetter"/>
      <w:lvlText w:val="(%5)"/>
      <w:lvlJc w:val="left"/>
      <w:pPr>
        <w:tabs>
          <w:tab w:val="num" w:pos="1077"/>
        </w:tabs>
        <w:ind w:left="1360" w:hanging="283"/>
      </w:pPr>
      <w:rPr>
        <w:rFonts w:hint="default"/>
      </w:rPr>
    </w:lvl>
    <w:lvl w:ilvl="5">
      <w:start w:val="1"/>
      <w:numFmt w:val="upperLetter"/>
      <w:lvlText w:val="%6."/>
      <w:lvlJc w:val="left"/>
      <w:pPr>
        <w:tabs>
          <w:tab w:val="num" w:pos="1360"/>
        </w:tabs>
        <w:ind w:left="1700" w:hanging="340"/>
      </w:pPr>
      <w:rPr>
        <w:rFonts w:hint="default"/>
      </w:rPr>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7D9521C8"/>
    <w:multiLevelType w:val="multilevel"/>
    <w:tmpl w:val="4C0AA62C"/>
    <w:styleLink w:val="referencelist"/>
    <w:lvl w:ilvl="0">
      <w:start w:val="1"/>
      <w:numFmt w:val="decimal"/>
      <w:pStyle w:val="referenceitem"/>
      <w:lvlText w:val="%1."/>
      <w:lvlJc w:val="right"/>
      <w:pPr>
        <w:tabs>
          <w:tab w:val="num" w:pos="340"/>
        </w:tabs>
        <w:ind w:left="340" w:hanging="113"/>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num w:numId="1">
    <w:abstractNumId w:val="2"/>
  </w:num>
  <w:num w:numId="2">
    <w:abstractNumId w:val="2"/>
  </w:num>
  <w:num w:numId="3">
    <w:abstractNumId w:val="10"/>
  </w:num>
  <w:num w:numId="4">
    <w:abstractNumId w:val="10"/>
  </w:num>
  <w:num w:numId="5">
    <w:abstractNumId w:val="12"/>
  </w:num>
  <w:num w:numId="6">
    <w:abstractNumId w:val="12"/>
  </w:num>
  <w:num w:numId="7">
    <w:abstractNumId w:val="11"/>
  </w:num>
  <w:num w:numId="8">
    <w:abstractNumId w:val="13"/>
  </w:num>
  <w:num w:numId="9">
    <w:abstractNumId w:val="13"/>
  </w:num>
  <w:num w:numId="10">
    <w:abstractNumId w:val="4"/>
  </w:num>
  <w:num w:numId="11">
    <w:abstractNumId w:val="8"/>
  </w:num>
  <w:num w:numId="12">
    <w:abstractNumId w:val="7"/>
  </w:num>
  <w:num w:numId="13">
    <w:abstractNumId w:val="9"/>
  </w:num>
  <w:num w:numId="14">
    <w:abstractNumId w:val="0"/>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17">
    <w:abstractNumId w:val="3"/>
  </w:num>
  <w:num w:numId="18">
    <w:abstractNumId w:val="6"/>
  </w:num>
  <w:num w:numId="19">
    <w:abstractNumId w:val="5"/>
  </w:num>
  <w:num w:numId="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22">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27"/>
  <w:autoHyphenation/>
  <w:hyphenationZone w:val="400"/>
  <w:doNotHyphenateCaps/>
  <w:evenAndOddHeaders/>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7FCE"/>
    <w:rsid w:val="000236A5"/>
    <w:rsid w:val="000334DE"/>
    <w:rsid w:val="00045AEA"/>
    <w:rsid w:val="000708EF"/>
    <w:rsid w:val="000A0DE9"/>
    <w:rsid w:val="000A6AA5"/>
    <w:rsid w:val="000B0382"/>
    <w:rsid w:val="000B44A0"/>
    <w:rsid w:val="000C3E2B"/>
    <w:rsid w:val="000E380F"/>
    <w:rsid w:val="00110477"/>
    <w:rsid w:val="001149FB"/>
    <w:rsid w:val="001309A5"/>
    <w:rsid w:val="001471F2"/>
    <w:rsid w:val="001605D1"/>
    <w:rsid w:val="00185950"/>
    <w:rsid w:val="001A02F0"/>
    <w:rsid w:val="001C2D0F"/>
    <w:rsid w:val="002035AE"/>
    <w:rsid w:val="00206B7E"/>
    <w:rsid w:val="002502D3"/>
    <w:rsid w:val="00263EA8"/>
    <w:rsid w:val="002677F8"/>
    <w:rsid w:val="00272A26"/>
    <w:rsid w:val="00275E5D"/>
    <w:rsid w:val="002C0CE4"/>
    <w:rsid w:val="002D48C5"/>
    <w:rsid w:val="002F0FC9"/>
    <w:rsid w:val="00311FE3"/>
    <w:rsid w:val="003327D7"/>
    <w:rsid w:val="003614E8"/>
    <w:rsid w:val="00361B46"/>
    <w:rsid w:val="003B0581"/>
    <w:rsid w:val="003C35E2"/>
    <w:rsid w:val="003D0A7E"/>
    <w:rsid w:val="003E0B20"/>
    <w:rsid w:val="003F6F37"/>
    <w:rsid w:val="00423344"/>
    <w:rsid w:val="0045738F"/>
    <w:rsid w:val="00463206"/>
    <w:rsid w:val="004902FF"/>
    <w:rsid w:val="004F63CC"/>
    <w:rsid w:val="0050314A"/>
    <w:rsid w:val="0053606C"/>
    <w:rsid w:val="00547228"/>
    <w:rsid w:val="0055558C"/>
    <w:rsid w:val="00556384"/>
    <w:rsid w:val="005952F6"/>
    <w:rsid w:val="005B2343"/>
    <w:rsid w:val="005C60A3"/>
    <w:rsid w:val="005D3244"/>
    <w:rsid w:val="005D34C2"/>
    <w:rsid w:val="006053C5"/>
    <w:rsid w:val="006A0DFD"/>
    <w:rsid w:val="00717DDC"/>
    <w:rsid w:val="007336E8"/>
    <w:rsid w:val="00757317"/>
    <w:rsid w:val="007B7E4A"/>
    <w:rsid w:val="007C1638"/>
    <w:rsid w:val="007C6E35"/>
    <w:rsid w:val="00812F60"/>
    <w:rsid w:val="008744EF"/>
    <w:rsid w:val="008B1BC8"/>
    <w:rsid w:val="008F0EC7"/>
    <w:rsid w:val="008F171A"/>
    <w:rsid w:val="008F2D4C"/>
    <w:rsid w:val="009264CA"/>
    <w:rsid w:val="00972165"/>
    <w:rsid w:val="009930E4"/>
    <w:rsid w:val="009B2539"/>
    <w:rsid w:val="009F7FCE"/>
    <w:rsid w:val="00A03E00"/>
    <w:rsid w:val="00A407B4"/>
    <w:rsid w:val="00A54596"/>
    <w:rsid w:val="00A66163"/>
    <w:rsid w:val="00AF4828"/>
    <w:rsid w:val="00AF6AC3"/>
    <w:rsid w:val="00B23481"/>
    <w:rsid w:val="00B27F35"/>
    <w:rsid w:val="00B5379E"/>
    <w:rsid w:val="00B80328"/>
    <w:rsid w:val="00BF4EEC"/>
    <w:rsid w:val="00C33F86"/>
    <w:rsid w:val="00C376E5"/>
    <w:rsid w:val="00CA66A3"/>
    <w:rsid w:val="00CA66B4"/>
    <w:rsid w:val="00CC155A"/>
    <w:rsid w:val="00CC400E"/>
    <w:rsid w:val="00CD609F"/>
    <w:rsid w:val="00D12601"/>
    <w:rsid w:val="00D7295D"/>
    <w:rsid w:val="00D74FCE"/>
    <w:rsid w:val="00D85891"/>
    <w:rsid w:val="00D87850"/>
    <w:rsid w:val="00DA76FD"/>
    <w:rsid w:val="00DC2CA9"/>
    <w:rsid w:val="00DD6F9D"/>
    <w:rsid w:val="00DE2BB7"/>
    <w:rsid w:val="00DF4C99"/>
    <w:rsid w:val="00E17D17"/>
    <w:rsid w:val="00E24682"/>
    <w:rsid w:val="00E3694D"/>
    <w:rsid w:val="00E5624C"/>
    <w:rsid w:val="00E603C7"/>
    <w:rsid w:val="00E7613D"/>
    <w:rsid w:val="00E81C66"/>
    <w:rsid w:val="00EC1C49"/>
    <w:rsid w:val="00EE6A37"/>
    <w:rsid w:val="00EF1D5B"/>
    <w:rsid w:val="00EF2552"/>
    <w:rsid w:val="00EF4490"/>
    <w:rsid w:val="00F3024E"/>
    <w:rsid w:val="00F321B4"/>
    <w:rsid w:val="00F531AC"/>
    <w:rsid w:val="00F5555F"/>
    <w:rsid w:val="00F85B7C"/>
    <w:rsid w:val="00FE5CE0"/>
    <w:rsid w:val="00FF156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A9861E4"/>
  <w15:docId w15:val="{ADAFD8A7-9F19-4C2F-8378-C467088B6D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pacing w:line="240" w:lineRule="atLeast"/>
      </w:pPr>
    </w:pPrDefault>
  </w:docDefaults>
  <w:latentStyles w:defLockedState="0" w:defUIPriority="0" w:defSemiHidden="0" w:defUnhideWhenUsed="0" w:defQFormat="0" w:count="375">
    <w:lsdException w:name="Normal" w:qFormat="1"/>
    <w:lsdException w:name="heading 1" w:semiHidden="1"/>
    <w:lsdException w:name="heading 2" w:semiHidden="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Intense Reference" w:semiHidden="1"/>
    <w:lsdException w:name="Book Title" w:semiHidden="1"/>
    <w:lsdException w:name="Bibliography" w:semiHidden="1"/>
    <w:lsdException w:name="TOC Heading" w:semiHidden="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E7667"/>
    <w:pPr>
      <w:overflowPunct w:val="0"/>
      <w:autoSpaceDE w:val="0"/>
      <w:autoSpaceDN w:val="0"/>
      <w:adjustRightInd w:val="0"/>
      <w:ind w:firstLine="227"/>
      <w:jc w:val="both"/>
      <w:textAlignment w:val="baseline"/>
    </w:pPr>
  </w:style>
  <w:style w:type="paragraph" w:styleId="Heading10">
    <w:name w:val="heading 1"/>
    <w:basedOn w:val="Normal"/>
    <w:next w:val="p1a"/>
    <w:semiHidden/>
    <w:unhideWhenUsed/>
    <w:qFormat/>
    <w:pPr>
      <w:keepNext/>
      <w:keepLines/>
      <w:suppressAutoHyphens/>
      <w:spacing w:before="360" w:after="240" w:line="300" w:lineRule="atLeast"/>
      <w:ind w:left="567" w:hanging="567"/>
      <w:jc w:val="left"/>
      <w:outlineLvl w:val="0"/>
    </w:pPr>
    <w:rPr>
      <w:b/>
      <w:sz w:val="24"/>
    </w:rPr>
  </w:style>
  <w:style w:type="paragraph" w:styleId="Heading20">
    <w:name w:val="heading 2"/>
    <w:basedOn w:val="Normal"/>
    <w:next w:val="p1a"/>
    <w:semiHidden/>
    <w:unhideWhenUsed/>
    <w:qFormat/>
    <w:pPr>
      <w:keepNext/>
      <w:keepLines/>
      <w:suppressAutoHyphens/>
      <w:spacing w:before="360" w:after="160"/>
      <w:ind w:left="567" w:hanging="567"/>
      <w:jc w:val="left"/>
      <w:outlineLvl w:val="1"/>
    </w:pPr>
    <w:rPr>
      <w:b/>
    </w:rPr>
  </w:style>
  <w:style w:type="paragraph" w:styleId="Heading3">
    <w:name w:val="heading 3"/>
    <w:basedOn w:val="Normal"/>
    <w:next w:val="Normal"/>
    <w:qFormat/>
    <w:pPr>
      <w:spacing w:before="360"/>
      <w:ind w:firstLine="0"/>
      <w:outlineLvl w:val="2"/>
    </w:pPr>
  </w:style>
  <w:style w:type="paragraph" w:styleId="Heading4">
    <w:name w:val="heading 4"/>
    <w:basedOn w:val="Normal"/>
    <w:next w:val="Normal"/>
    <w:qFormat/>
    <w:pPr>
      <w:spacing w:before="240"/>
      <w:ind w:firstLine="0"/>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Normal"/>
    <w:pPr>
      <w:spacing w:before="600" w:after="360" w:line="220" w:lineRule="atLeast"/>
      <w:ind w:left="567" w:right="567"/>
      <w:contextualSpacing/>
    </w:pPr>
    <w:rPr>
      <w:sz w:val="18"/>
    </w:rPr>
  </w:style>
  <w:style w:type="paragraph" w:customStyle="1" w:styleId="address">
    <w:name w:val="address"/>
    <w:basedOn w:val="Normal"/>
    <w:pPr>
      <w:spacing w:after="200" w:line="220" w:lineRule="atLeast"/>
      <w:ind w:firstLine="0"/>
      <w:contextualSpacing/>
      <w:jc w:val="center"/>
    </w:pPr>
    <w:rPr>
      <w:sz w:val="18"/>
    </w:rPr>
  </w:style>
  <w:style w:type="numbering" w:customStyle="1" w:styleId="arabnumitem">
    <w:name w:val="arabnumitem"/>
    <w:basedOn w:val="NoList"/>
    <w:pPr>
      <w:numPr>
        <w:numId w:val="5"/>
      </w:numPr>
    </w:pPr>
  </w:style>
  <w:style w:type="paragraph" w:customStyle="1" w:styleId="author">
    <w:name w:val="author"/>
    <w:basedOn w:val="Normal"/>
    <w:next w:val="address"/>
    <w:pPr>
      <w:spacing w:after="200" w:line="220" w:lineRule="atLeast"/>
      <w:ind w:firstLine="0"/>
      <w:jc w:val="center"/>
    </w:pPr>
  </w:style>
  <w:style w:type="paragraph" w:customStyle="1" w:styleId="bulletitem">
    <w:name w:val="bulletitem"/>
    <w:basedOn w:val="Normal"/>
    <w:pPr>
      <w:numPr>
        <w:numId w:val="2"/>
      </w:numPr>
      <w:spacing w:before="160" w:after="160"/>
      <w:contextualSpacing/>
    </w:pPr>
  </w:style>
  <w:style w:type="paragraph" w:customStyle="1" w:styleId="dashitem">
    <w:name w:val="dashitem"/>
    <w:basedOn w:val="Normal"/>
    <w:pPr>
      <w:numPr>
        <w:numId w:val="4"/>
      </w:numPr>
      <w:spacing w:before="160" w:after="160"/>
      <w:contextualSpacing/>
    </w:pPr>
  </w:style>
  <w:style w:type="character" w:customStyle="1" w:styleId="e-mail">
    <w:name w:val="e-mail"/>
    <w:basedOn w:val="DefaultParagraphFont"/>
    <w:rPr>
      <w:rFonts w:ascii="Courier" w:hAnsi="Courier"/>
      <w:noProof/>
    </w:rPr>
  </w:style>
  <w:style w:type="paragraph" w:customStyle="1" w:styleId="equation">
    <w:name w:val="equation"/>
    <w:basedOn w:val="Normal"/>
    <w:next w:val="Normal"/>
    <w:pPr>
      <w:tabs>
        <w:tab w:val="center" w:pos="3289"/>
        <w:tab w:val="right" w:pos="6917"/>
      </w:tabs>
      <w:spacing w:before="160" w:after="160"/>
      <w:ind w:firstLine="0"/>
    </w:pPr>
  </w:style>
  <w:style w:type="paragraph" w:customStyle="1" w:styleId="figurecaption">
    <w:name w:val="figurecaption"/>
    <w:basedOn w:val="Normal"/>
    <w:next w:val="Normal"/>
    <w:pPr>
      <w:keepLines/>
      <w:spacing w:before="120" w:after="240" w:line="220" w:lineRule="atLeast"/>
      <w:ind w:firstLine="0"/>
      <w:jc w:val="center"/>
    </w:pPr>
    <w:rPr>
      <w:sz w:val="18"/>
    </w:rPr>
  </w:style>
  <w:style w:type="character" w:styleId="FootnoteReference">
    <w:name w:val="footnote reference"/>
    <w:basedOn w:val="DefaultParagraphFont"/>
    <w:semiHidden/>
    <w:unhideWhenUsed/>
    <w:rPr>
      <w:position w:val="0"/>
      <w:vertAlign w:val="superscript"/>
    </w:rPr>
  </w:style>
  <w:style w:type="paragraph" w:styleId="Footer">
    <w:name w:val="footer"/>
    <w:basedOn w:val="Normal"/>
    <w:semiHidden/>
    <w:unhideWhenUsed/>
  </w:style>
  <w:style w:type="paragraph" w:customStyle="1" w:styleId="heading1">
    <w:name w:val="heading1"/>
    <w:basedOn w:val="Normal"/>
    <w:next w:val="p1a"/>
    <w:qFormat/>
    <w:pPr>
      <w:keepNext/>
      <w:keepLines/>
      <w:numPr>
        <w:numId w:val="7"/>
      </w:numPr>
      <w:suppressAutoHyphens/>
      <w:spacing w:before="360" w:after="240" w:line="300" w:lineRule="atLeast"/>
      <w:jc w:val="left"/>
      <w:outlineLvl w:val="0"/>
    </w:pPr>
    <w:rPr>
      <w:b/>
      <w:sz w:val="24"/>
    </w:rPr>
  </w:style>
  <w:style w:type="paragraph" w:customStyle="1" w:styleId="heading2">
    <w:name w:val="heading2"/>
    <w:basedOn w:val="Normal"/>
    <w:next w:val="p1a"/>
    <w:qFormat/>
    <w:pPr>
      <w:keepNext/>
      <w:keepLines/>
      <w:numPr>
        <w:ilvl w:val="1"/>
        <w:numId w:val="7"/>
      </w:numPr>
      <w:suppressAutoHyphens/>
      <w:spacing w:before="360" w:after="160"/>
      <w:jc w:val="left"/>
      <w:outlineLvl w:val="1"/>
    </w:pPr>
    <w:rPr>
      <w:b/>
    </w:rPr>
  </w:style>
  <w:style w:type="character" w:customStyle="1" w:styleId="heading30">
    <w:name w:val="heading3"/>
    <w:basedOn w:val="DefaultParagraphFont"/>
    <w:rPr>
      <w:b/>
    </w:rPr>
  </w:style>
  <w:style w:type="character" w:customStyle="1" w:styleId="heading40">
    <w:name w:val="heading4"/>
    <w:basedOn w:val="DefaultParagraphFont"/>
    <w:rPr>
      <w:i/>
    </w:rPr>
  </w:style>
  <w:style w:type="numbering" w:customStyle="1" w:styleId="headings">
    <w:name w:val="headings"/>
    <w:basedOn w:val="arabnumitem"/>
    <w:pPr>
      <w:numPr>
        <w:numId w:val="7"/>
      </w:numPr>
    </w:pPr>
  </w:style>
  <w:style w:type="character" w:styleId="Hyperlink">
    <w:name w:val="Hyperlink"/>
    <w:basedOn w:val="DefaultParagraphFont"/>
    <w:semiHidden/>
    <w:unhideWhenUsed/>
    <w:rPr>
      <w:color w:val="auto"/>
      <w:u w:val="none"/>
    </w:rPr>
  </w:style>
  <w:style w:type="paragraph" w:customStyle="1" w:styleId="image">
    <w:name w:val="image"/>
    <w:basedOn w:val="Normal"/>
    <w:next w:val="Normal"/>
    <w:pPr>
      <w:spacing w:before="240" w:after="120"/>
      <w:ind w:firstLine="0"/>
      <w:jc w:val="center"/>
    </w:pPr>
  </w:style>
  <w:style w:type="numbering" w:customStyle="1" w:styleId="itemization1">
    <w:name w:val="itemization1"/>
    <w:basedOn w:val="NoList"/>
    <w:pPr>
      <w:numPr>
        <w:numId w:val="1"/>
      </w:numPr>
    </w:pPr>
  </w:style>
  <w:style w:type="numbering" w:customStyle="1" w:styleId="itemization2">
    <w:name w:val="itemization2"/>
    <w:basedOn w:val="NoList"/>
    <w:pPr>
      <w:numPr>
        <w:numId w:val="3"/>
      </w:numPr>
    </w:pPr>
  </w:style>
  <w:style w:type="paragraph" w:customStyle="1" w:styleId="keywords">
    <w:name w:val="keywords"/>
    <w:basedOn w:val="abstract"/>
    <w:next w:val="heading1"/>
    <w:pPr>
      <w:spacing w:before="220"/>
      <w:ind w:firstLine="0"/>
      <w:contextualSpacing w:val="0"/>
      <w:jc w:val="left"/>
    </w:pPr>
  </w:style>
  <w:style w:type="paragraph" w:styleId="Header">
    <w:name w:val="header"/>
    <w:basedOn w:val="Normal"/>
    <w:semiHidden/>
    <w:unhideWhenUsed/>
    <w:pPr>
      <w:tabs>
        <w:tab w:val="center" w:pos="4536"/>
        <w:tab w:val="right" w:pos="9072"/>
      </w:tabs>
      <w:ind w:firstLine="0"/>
    </w:pPr>
    <w:rPr>
      <w:sz w:val="18"/>
      <w:szCs w:val="18"/>
    </w:rPr>
  </w:style>
  <w:style w:type="paragraph" w:customStyle="1" w:styleId="numitem">
    <w:name w:val="numitem"/>
    <w:basedOn w:val="Normal"/>
    <w:pPr>
      <w:numPr>
        <w:numId w:val="6"/>
      </w:numPr>
      <w:spacing w:before="160" w:after="160"/>
      <w:contextualSpacing/>
    </w:pPr>
  </w:style>
  <w:style w:type="paragraph" w:customStyle="1" w:styleId="p1a">
    <w:name w:val="p1a"/>
    <w:basedOn w:val="Normal"/>
    <w:next w:val="Normal"/>
    <w:pPr>
      <w:ind w:firstLine="0"/>
    </w:pPr>
  </w:style>
  <w:style w:type="paragraph" w:customStyle="1" w:styleId="programcode">
    <w:name w:val="programcode"/>
    <w:basedOn w:val="Normal"/>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pacing w:before="160" w:after="160"/>
      <w:ind w:firstLine="0"/>
      <w:contextualSpacing/>
      <w:jc w:val="left"/>
    </w:pPr>
    <w:rPr>
      <w:rFonts w:ascii="Courier" w:hAnsi="Courier"/>
    </w:rPr>
  </w:style>
  <w:style w:type="paragraph" w:customStyle="1" w:styleId="referenceitem">
    <w:name w:val="referenceitem"/>
    <w:basedOn w:val="Normal"/>
    <w:rsid w:val="00185950"/>
    <w:pPr>
      <w:numPr>
        <w:numId w:val="9"/>
      </w:numPr>
      <w:spacing w:line="220" w:lineRule="atLeast"/>
    </w:pPr>
    <w:rPr>
      <w:sz w:val="18"/>
    </w:rPr>
  </w:style>
  <w:style w:type="numbering" w:customStyle="1" w:styleId="referencelist">
    <w:name w:val="referencelist"/>
    <w:basedOn w:val="NoList"/>
    <w:semiHidden/>
    <w:pPr>
      <w:numPr>
        <w:numId w:val="8"/>
      </w:numPr>
    </w:pPr>
  </w:style>
  <w:style w:type="paragraph" w:customStyle="1" w:styleId="runninghead-left">
    <w:name w:val="running head - left"/>
    <w:basedOn w:val="Normal"/>
    <w:pPr>
      <w:ind w:firstLine="0"/>
      <w:jc w:val="left"/>
    </w:pPr>
    <w:rPr>
      <w:sz w:val="18"/>
      <w:szCs w:val="18"/>
    </w:rPr>
  </w:style>
  <w:style w:type="paragraph" w:customStyle="1" w:styleId="runninghead-right">
    <w:name w:val="running head - right"/>
    <w:basedOn w:val="Normal"/>
    <w:pPr>
      <w:ind w:firstLine="0"/>
      <w:jc w:val="right"/>
    </w:pPr>
    <w:rPr>
      <w:bCs/>
      <w:sz w:val="18"/>
      <w:szCs w:val="18"/>
    </w:rPr>
  </w:style>
  <w:style w:type="character" w:styleId="PageNumber">
    <w:name w:val="page number"/>
    <w:basedOn w:val="DefaultParagraphFont"/>
    <w:semiHidden/>
    <w:unhideWhenUsed/>
    <w:rPr>
      <w:sz w:val="18"/>
    </w:rPr>
  </w:style>
  <w:style w:type="paragraph" w:customStyle="1" w:styleId="papertitle">
    <w:name w:val="papertitle"/>
    <w:basedOn w:val="Normal"/>
    <w:next w:val="author"/>
    <w:pPr>
      <w:keepNext/>
      <w:keepLines/>
      <w:suppressAutoHyphens/>
      <w:spacing w:after="480" w:line="360" w:lineRule="atLeast"/>
      <w:ind w:firstLine="0"/>
      <w:jc w:val="center"/>
    </w:pPr>
    <w:rPr>
      <w:b/>
      <w:sz w:val="28"/>
    </w:rPr>
  </w:style>
  <w:style w:type="paragraph" w:customStyle="1" w:styleId="papersubtitle">
    <w:name w:val="papersubtitle"/>
    <w:basedOn w:val="papertitle"/>
    <w:next w:val="author"/>
    <w:pPr>
      <w:spacing w:before="120" w:line="280" w:lineRule="atLeast"/>
    </w:pPr>
    <w:rPr>
      <w:sz w:val="24"/>
    </w:rPr>
  </w:style>
  <w:style w:type="paragraph" w:customStyle="1" w:styleId="tablecaption">
    <w:name w:val="tablecaption"/>
    <w:basedOn w:val="Normal"/>
    <w:next w:val="Normal"/>
    <w:pPr>
      <w:keepNext/>
      <w:keepLines/>
      <w:spacing w:before="240" w:after="120" w:line="220" w:lineRule="atLeast"/>
      <w:ind w:firstLine="0"/>
      <w:jc w:val="center"/>
    </w:pPr>
    <w:rPr>
      <w:sz w:val="18"/>
    </w:rPr>
  </w:style>
  <w:style w:type="character" w:customStyle="1" w:styleId="url">
    <w:name w:val="url"/>
    <w:basedOn w:val="DefaultParagraphFont"/>
    <w:rPr>
      <w:rFonts w:ascii="Courier" w:hAnsi="Courier"/>
      <w:noProof/>
    </w:rPr>
  </w:style>
  <w:style w:type="character" w:customStyle="1" w:styleId="ORCID">
    <w:name w:val="ORCID"/>
    <w:basedOn w:val="DefaultParagraphFont"/>
    <w:rPr>
      <w:position w:val="0"/>
      <w:vertAlign w:val="superscript"/>
    </w:rPr>
  </w:style>
  <w:style w:type="paragraph" w:styleId="FootnoteText">
    <w:name w:val="footnote text"/>
    <w:basedOn w:val="Normal"/>
    <w:link w:val="FootnoteTextChar"/>
    <w:semiHidden/>
    <w:pPr>
      <w:spacing w:line="220" w:lineRule="atLeast"/>
      <w:ind w:left="227" w:hanging="227"/>
    </w:pPr>
    <w:rPr>
      <w:sz w:val="18"/>
    </w:rPr>
  </w:style>
  <w:style w:type="paragraph" w:customStyle="1" w:styleId="ReferenceLine">
    <w:name w:val="ReferenceLine"/>
    <w:basedOn w:val="p1a"/>
    <w:semiHidden/>
    <w:unhideWhenUsed/>
    <w:pPr>
      <w:spacing w:line="200" w:lineRule="exact"/>
    </w:pPr>
    <w:rPr>
      <w:sz w:val="16"/>
    </w:rPr>
  </w:style>
  <w:style w:type="paragraph" w:customStyle="1" w:styleId="Els-Title">
    <w:name w:val="Els-Title"/>
    <w:next w:val="Normal"/>
    <w:autoRedefine/>
    <w:rsid w:val="001309A5"/>
    <w:pPr>
      <w:suppressAutoHyphens/>
      <w:spacing w:after="240" w:line="400" w:lineRule="exact"/>
      <w:jc w:val="center"/>
    </w:pPr>
    <w:rPr>
      <w:rFonts w:eastAsia="SimSun"/>
      <w:sz w:val="34"/>
    </w:rPr>
  </w:style>
  <w:style w:type="paragraph" w:customStyle="1" w:styleId="Els-footnote">
    <w:name w:val="Els-footnote"/>
    <w:rsid w:val="001309A5"/>
    <w:pPr>
      <w:keepLines/>
      <w:widowControl w:val="0"/>
      <w:spacing w:line="200" w:lineRule="exact"/>
      <w:ind w:firstLine="245"/>
      <w:jc w:val="both"/>
    </w:pPr>
    <w:rPr>
      <w:rFonts w:eastAsia="SimSun"/>
      <w:sz w:val="16"/>
    </w:rPr>
  </w:style>
  <w:style w:type="character" w:customStyle="1" w:styleId="FootnoteTextChar">
    <w:name w:val="Footnote Text Char"/>
    <w:basedOn w:val="DefaultParagraphFont"/>
    <w:link w:val="FootnoteText"/>
    <w:semiHidden/>
    <w:rsid w:val="001309A5"/>
    <w:rPr>
      <w:sz w:val="18"/>
    </w:rPr>
  </w:style>
  <w:style w:type="character" w:customStyle="1" w:styleId="cf01">
    <w:name w:val="cf01"/>
    <w:basedOn w:val="DefaultParagraphFont"/>
    <w:rsid w:val="001309A5"/>
    <w:rPr>
      <w:rFonts w:ascii="Segoe UI" w:hAnsi="Segoe UI" w:cs="Segoe UI" w:hint="default"/>
      <w:color w:val="262626"/>
      <w:sz w:val="21"/>
      <w:szCs w:val="21"/>
    </w:rPr>
  </w:style>
  <w:style w:type="paragraph" w:customStyle="1" w:styleId="Els-1storder-head">
    <w:name w:val="Els-1storder-head"/>
    <w:next w:val="Normal"/>
    <w:rsid w:val="001309A5"/>
    <w:pPr>
      <w:keepNext/>
      <w:numPr>
        <w:numId w:val="11"/>
      </w:numPr>
      <w:suppressAutoHyphens/>
      <w:spacing w:before="240" w:after="240" w:line="240" w:lineRule="exact"/>
    </w:pPr>
    <w:rPr>
      <w:rFonts w:eastAsia="SimSun"/>
      <w:b/>
    </w:rPr>
  </w:style>
  <w:style w:type="paragraph" w:customStyle="1" w:styleId="Els-2ndorder-head">
    <w:name w:val="Els-2ndorder-head"/>
    <w:next w:val="Normal"/>
    <w:rsid w:val="001309A5"/>
    <w:pPr>
      <w:keepNext/>
      <w:numPr>
        <w:ilvl w:val="1"/>
        <w:numId w:val="11"/>
      </w:numPr>
      <w:suppressAutoHyphens/>
      <w:spacing w:before="240" w:after="240" w:line="240" w:lineRule="exact"/>
    </w:pPr>
    <w:rPr>
      <w:rFonts w:eastAsia="SimSun"/>
      <w:i/>
    </w:rPr>
  </w:style>
  <w:style w:type="paragraph" w:customStyle="1" w:styleId="Els-3rdorder-head">
    <w:name w:val="Els-3rdorder-head"/>
    <w:next w:val="Normal"/>
    <w:rsid w:val="001309A5"/>
    <w:pPr>
      <w:keepNext/>
      <w:numPr>
        <w:ilvl w:val="2"/>
        <w:numId w:val="11"/>
      </w:numPr>
      <w:suppressAutoHyphens/>
      <w:spacing w:before="240" w:line="240" w:lineRule="exact"/>
    </w:pPr>
    <w:rPr>
      <w:rFonts w:eastAsia="SimSun"/>
      <w:i/>
    </w:rPr>
  </w:style>
  <w:style w:type="paragraph" w:customStyle="1" w:styleId="Els-4thorder-head">
    <w:name w:val="Els-4thorder-head"/>
    <w:next w:val="Normal"/>
    <w:rsid w:val="001309A5"/>
    <w:pPr>
      <w:keepNext/>
      <w:numPr>
        <w:ilvl w:val="3"/>
        <w:numId w:val="11"/>
      </w:numPr>
      <w:suppressAutoHyphens/>
      <w:spacing w:before="240" w:line="240" w:lineRule="exact"/>
    </w:pPr>
    <w:rPr>
      <w:rFonts w:eastAsia="SimSun"/>
      <w:i/>
    </w:rPr>
  </w:style>
  <w:style w:type="paragraph" w:customStyle="1" w:styleId="Els-Abstract-text">
    <w:name w:val="Els-Abstract-text"/>
    <w:next w:val="Normal"/>
    <w:rsid w:val="001309A5"/>
    <w:pPr>
      <w:spacing w:line="220" w:lineRule="exact"/>
      <w:jc w:val="both"/>
    </w:pPr>
    <w:rPr>
      <w:rFonts w:eastAsia="SimSun"/>
      <w:sz w:val="18"/>
    </w:rPr>
  </w:style>
  <w:style w:type="table" w:styleId="TableGrid">
    <w:name w:val="Table Grid"/>
    <w:basedOn w:val="TableNormal"/>
    <w:uiPriority w:val="39"/>
    <w:rsid w:val="001309A5"/>
    <w:pPr>
      <w:spacing w:line="240" w:lineRule="auto"/>
    </w:pPr>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0">
    <w:name w:val="Table Caption"/>
    <w:basedOn w:val="Normal"/>
    <w:link w:val="TableCaptionChar"/>
    <w:qFormat/>
    <w:rsid w:val="001309A5"/>
    <w:pPr>
      <w:widowControl w:val="0"/>
      <w:overflowPunct/>
      <w:autoSpaceDE/>
      <w:autoSpaceDN/>
      <w:adjustRightInd/>
      <w:spacing w:before="200" w:after="80" w:line="200" w:lineRule="exact"/>
      <w:ind w:left="1325" w:firstLine="0"/>
      <w:jc w:val="left"/>
      <w:textAlignment w:val="auto"/>
    </w:pPr>
    <w:rPr>
      <w:rFonts w:eastAsia="SimSun"/>
      <w:sz w:val="16"/>
      <w:lang w:val="en-GB"/>
    </w:rPr>
  </w:style>
  <w:style w:type="character" w:customStyle="1" w:styleId="TableCaptionChar">
    <w:name w:val="Table Caption Char"/>
    <w:basedOn w:val="DefaultParagraphFont"/>
    <w:link w:val="TableCaption0"/>
    <w:rsid w:val="001309A5"/>
    <w:rPr>
      <w:rFonts w:eastAsia="SimSun"/>
      <w:sz w:val="16"/>
      <w:lang w:val="en-GB"/>
    </w:rPr>
  </w:style>
  <w:style w:type="paragraph" w:customStyle="1" w:styleId="table">
    <w:name w:val="table"/>
    <w:basedOn w:val="TableCaption0"/>
    <w:link w:val="tableChar"/>
    <w:qFormat/>
    <w:rsid w:val="001309A5"/>
    <w:pPr>
      <w:spacing w:before="0"/>
      <w:ind w:left="0"/>
    </w:pPr>
  </w:style>
  <w:style w:type="character" w:customStyle="1" w:styleId="tableChar">
    <w:name w:val="table Char"/>
    <w:basedOn w:val="TableCaptionChar"/>
    <w:link w:val="table"/>
    <w:rsid w:val="001309A5"/>
    <w:rPr>
      <w:rFonts w:eastAsia="SimSun"/>
      <w:sz w:val="16"/>
      <w:lang w:val="en-GB"/>
    </w:rPr>
  </w:style>
  <w:style w:type="paragraph" w:customStyle="1" w:styleId="figure">
    <w:name w:val="figure"/>
    <w:basedOn w:val="Normal"/>
    <w:link w:val="figureChar"/>
    <w:qFormat/>
    <w:rsid w:val="001309A5"/>
    <w:pPr>
      <w:widowControl w:val="0"/>
      <w:overflowPunct/>
      <w:autoSpaceDE/>
      <w:autoSpaceDN/>
      <w:adjustRightInd/>
      <w:spacing w:before="200" w:after="240" w:line="200" w:lineRule="exact"/>
      <w:ind w:firstLine="0"/>
      <w:jc w:val="center"/>
      <w:textAlignment w:val="auto"/>
    </w:pPr>
    <w:rPr>
      <w:rFonts w:eastAsia="SimSun"/>
      <w:sz w:val="16"/>
      <w:lang w:val="en-GB"/>
    </w:rPr>
  </w:style>
  <w:style w:type="character" w:customStyle="1" w:styleId="figureChar">
    <w:name w:val="figure Char"/>
    <w:basedOn w:val="DefaultParagraphFont"/>
    <w:link w:val="figure"/>
    <w:rsid w:val="001309A5"/>
    <w:rPr>
      <w:rFonts w:eastAsia="SimSun"/>
      <w:sz w:val="16"/>
      <w:lang w:val="en-GB"/>
    </w:rPr>
  </w:style>
  <w:style w:type="paragraph" w:styleId="ListParagraph">
    <w:name w:val="List Paragraph"/>
    <w:basedOn w:val="Normal"/>
    <w:uiPriority w:val="34"/>
    <w:qFormat/>
    <w:rsid w:val="001149FB"/>
    <w:pPr>
      <w:overflowPunct/>
      <w:autoSpaceDE/>
      <w:autoSpaceDN/>
      <w:adjustRightInd/>
      <w:spacing w:line="360" w:lineRule="auto"/>
      <w:ind w:left="720" w:firstLine="0"/>
      <w:contextualSpacing/>
      <w:textAlignment w:val="auto"/>
    </w:pPr>
    <w:rPr>
      <w:rFonts w:eastAsiaTheme="minorHAnsi" w:cstheme="minorBidi"/>
      <w:sz w:val="24"/>
      <w:szCs w:val="22"/>
    </w:rPr>
  </w:style>
  <w:style w:type="paragraph" w:styleId="NormalWeb">
    <w:name w:val="Normal (Web)"/>
    <w:basedOn w:val="Normal"/>
    <w:uiPriority w:val="99"/>
    <w:semiHidden/>
    <w:unhideWhenUsed/>
    <w:rsid w:val="00CC400E"/>
    <w:pPr>
      <w:overflowPunct/>
      <w:autoSpaceDE/>
      <w:autoSpaceDN/>
      <w:adjustRightInd/>
      <w:spacing w:before="100" w:beforeAutospacing="1" w:after="100" w:afterAutospacing="1" w:line="240" w:lineRule="auto"/>
      <w:ind w:firstLine="0"/>
      <w:jc w:val="left"/>
      <w:textAlignment w:val="auto"/>
    </w:pPr>
    <w:rPr>
      <w:sz w:val="24"/>
      <w:szCs w:val="24"/>
      <w:lang w:val="en-IN" w:eastAsia="en-IN"/>
    </w:rPr>
  </w:style>
  <w:style w:type="character" w:styleId="Emphasis">
    <w:name w:val="Emphasis"/>
    <w:basedOn w:val="DefaultParagraphFont"/>
    <w:uiPriority w:val="20"/>
    <w:qFormat/>
    <w:rsid w:val="00CC400E"/>
    <w:rPr>
      <w:i/>
      <w:iCs/>
    </w:rPr>
  </w:style>
  <w:style w:type="character" w:styleId="CommentReference">
    <w:name w:val="annotation reference"/>
    <w:basedOn w:val="DefaultParagraphFont"/>
    <w:semiHidden/>
    <w:unhideWhenUsed/>
    <w:rsid w:val="00717DDC"/>
    <w:rPr>
      <w:sz w:val="16"/>
      <w:szCs w:val="16"/>
    </w:rPr>
  </w:style>
  <w:style w:type="paragraph" w:styleId="CommentText">
    <w:name w:val="annotation text"/>
    <w:basedOn w:val="Normal"/>
    <w:link w:val="CommentTextChar"/>
    <w:unhideWhenUsed/>
    <w:rsid w:val="00717DDC"/>
    <w:pPr>
      <w:spacing w:line="240" w:lineRule="auto"/>
    </w:pPr>
  </w:style>
  <w:style w:type="character" w:customStyle="1" w:styleId="CommentTextChar">
    <w:name w:val="Comment Text Char"/>
    <w:basedOn w:val="DefaultParagraphFont"/>
    <w:link w:val="CommentText"/>
    <w:rsid w:val="00717DDC"/>
  </w:style>
  <w:style w:type="paragraph" w:styleId="CommentSubject">
    <w:name w:val="annotation subject"/>
    <w:basedOn w:val="CommentText"/>
    <w:next w:val="CommentText"/>
    <w:link w:val="CommentSubjectChar"/>
    <w:semiHidden/>
    <w:unhideWhenUsed/>
    <w:rsid w:val="00717DDC"/>
    <w:rPr>
      <w:b/>
      <w:bCs/>
    </w:rPr>
  </w:style>
  <w:style w:type="character" w:customStyle="1" w:styleId="CommentSubjectChar">
    <w:name w:val="Comment Subject Char"/>
    <w:basedOn w:val="CommentTextChar"/>
    <w:link w:val="CommentSubject"/>
    <w:semiHidden/>
    <w:rsid w:val="00717DDC"/>
    <w:rPr>
      <w:b/>
      <w:bCs/>
    </w:rPr>
  </w:style>
  <w:style w:type="paragraph" w:styleId="BalloonText">
    <w:name w:val="Balloon Text"/>
    <w:basedOn w:val="Normal"/>
    <w:link w:val="BalloonTextChar"/>
    <w:semiHidden/>
    <w:rsid w:val="00717DDC"/>
    <w:pPr>
      <w:spacing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717DDC"/>
    <w:rPr>
      <w:rFonts w:ascii="Segoe UI" w:hAnsi="Segoe UI" w:cs="Segoe UI"/>
      <w:sz w:val="18"/>
      <w:szCs w:val="18"/>
    </w:rPr>
  </w:style>
  <w:style w:type="character" w:customStyle="1" w:styleId="anchor-text">
    <w:name w:val="anchor-text"/>
    <w:basedOn w:val="DefaultParagraphFont"/>
    <w:rsid w:val="008F0EC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1652930">
      <w:bodyDiv w:val="1"/>
      <w:marLeft w:val="0"/>
      <w:marRight w:val="0"/>
      <w:marTop w:val="0"/>
      <w:marBottom w:val="0"/>
      <w:divBdr>
        <w:top w:val="none" w:sz="0" w:space="0" w:color="auto"/>
        <w:left w:val="none" w:sz="0" w:space="0" w:color="auto"/>
        <w:bottom w:val="none" w:sz="0" w:space="0" w:color="auto"/>
        <w:right w:val="none" w:sz="0" w:space="0" w:color="auto"/>
      </w:divBdr>
      <w:divsChild>
        <w:div w:id="275141643">
          <w:marLeft w:val="0"/>
          <w:marRight w:val="0"/>
          <w:marTop w:val="0"/>
          <w:marBottom w:val="0"/>
          <w:divBdr>
            <w:top w:val="none" w:sz="0" w:space="0" w:color="auto"/>
            <w:left w:val="none" w:sz="0" w:space="0" w:color="auto"/>
            <w:bottom w:val="none" w:sz="0" w:space="0" w:color="auto"/>
            <w:right w:val="none" w:sz="0" w:space="0" w:color="auto"/>
          </w:divBdr>
        </w:div>
      </w:divsChild>
    </w:div>
    <w:div w:id="1340277291">
      <w:bodyDiv w:val="1"/>
      <w:marLeft w:val="0"/>
      <w:marRight w:val="0"/>
      <w:marTop w:val="0"/>
      <w:marBottom w:val="0"/>
      <w:divBdr>
        <w:top w:val="none" w:sz="0" w:space="0" w:color="auto"/>
        <w:left w:val="none" w:sz="0" w:space="0" w:color="auto"/>
        <w:bottom w:val="none" w:sz="0" w:space="0" w:color="auto"/>
        <w:right w:val="none" w:sz="0" w:space="0" w:color="auto"/>
      </w:divBdr>
    </w:div>
    <w:div w:id="1661347268">
      <w:bodyDiv w:val="1"/>
      <w:marLeft w:val="0"/>
      <w:marRight w:val="0"/>
      <w:marTop w:val="0"/>
      <w:marBottom w:val="0"/>
      <w:divBdr>
        <w:top w:val="none" w:sz="0" w:space="0" w:color="auto"/>
        <w:left w:val="none" w:sz="0" w:space="0" w:color="auto"/>
        <w:bottom w:val="none" w:sz="0" w:space="0" w:color="auto"/>
        <w:right w:val="none" w:sz="0" w:space="0" w:color="auto"/>
      </w:divBdr>
      <w:divsChild>
        <w:div w:id="1381244606">
          <w:marLeft w:val="0"/>
          <w:marRight w:val="0"/>
          <w:marTop w:val="0"/>
          <w:marBottom w:val="0"/>
          <w:divBdr>
            <w:top w:val="none" w:sz="0" w:space="0" w:color="auto"/>
            <w:left w:val="none" w:sz="0" w:space="0" w:color="auto"/>
            <w:bottom w:val="none" w:sz="0" w:space="0" w:color="auto"/>
            <w:right w:val="none" w:sz="0" w:space="0" w:color="auto"/>
          </w:divBdr>
        </w:div>
      </w:divsChild>
    </w:div>
    <w:div w:id="1944726810">
      <w:bodyDiv w:val="1"/>
      <w:marLeft w:val="0"/>
      <w:marRight w:val="0"/>
      <w:marTop w:val="0"/>
      <w:marBottom w:val="0"/>
      <w:divBdr>
        <w:top w:val="none" w:sz="0" w:space="0" w:color="auto"/>
        <w:left w:val="none" w:sz="0" w:space="0" w:color="auto"/>
        <w:bottom w:val="none" w:sz="0" w:space="0" w:color="auto"/>
        <w:right w:val="none" w:sz="0" w:space="0" w:color="auto"/>
      </w:divBdr>
      <w:divsChild>
        <w:div w:id="156860695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hyperlink" Target="https://doi.org/10.1080/15502287.2018.1534160"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doi.org/10.1016/j.jcsr.2015.12.030" TargetMode="Externa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yperlink" Target="https://doi.org/10.1016/j.compscitech.2006.03.00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yperlink" Target="https://doi.org/10.1002/pen.760150810" TargetMode="Externa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yperlink" Target="https://doi.org/10.1002/1527-2648(20021014)4:10%3C771::AID-ADEM771%3E3.0.CO;2-Y" TargetMode="External"/><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hyperlink" Target="https://doi.org/10.1016/S1003-6326(09)60308-3"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hyperlink" Target="https://doi.org/10.1016/S0020-7403(98)00066-6" TargetMode="External"/><Relationship Id="rId27" Type="http://schemas.openxmlformats.org/officeDocument/2006/relationships/fontTable" Target="fontTable.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09"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B201BBB-504D-49D9-89E6-1C68DBD3F282}">
  <we:reference id="wa200000368" version="1.0.0.0" store="en-US" storeType="OMEX"/>
  <we:alternateReferences>
    <we:reference id="WA200000368" version="1.0.0.0" store="WA200000368" storeType="OMEX"/>
  </we:alternateReferences>
  <we:properties/>
  <we:bindings/>
  <we:snapshot xmlns:r="http://schemas.openxmlformats.org/officeDocument/2006/relationships"/>
</we:webextension>
</file>

<file path=customUI/_rels/customUI14.xml.rels><?xml version="1.0" encoding="UTF-8" standalone="yes"?>
<Relationships xmlns="http://schemas.openxmlformats.org/package/2006/relationships"><Relationship Id="removespace" Type="http://schemas.openxmlformats.org/officeDocument/2006/relationships/image" Target="images/removespace.ICO"/><Relationship Id="ORCID" Type="http://schemas.openxmlformats.org/officeDocument/2006/relationships/image" Target="images/ORCID.ICO"/><Relationship Id="papertitle" Type="http://schemas.openxmlformats.org/officeDocument/2006/relationships/image" Target="images/papertitle.ICO"/><Relationship Id="FigCaption" Type="http://schemas.openxmlformats.org/officeDocument/2006/relationships/image" Target="images/FigCaption16.ICO"/><Relationship Id="addspace" Type="http://schemas.openxmlformats.org/officeDocument/2006/relationships/image" Target="images/addspace.ICO"/><Relationship Id="arrowleft" Type="http://schemas.openxmlformats.org/officeDocument/2006/relationships/image" Target="images/arrowleft.ICO"/><Relationship Id="bulletitem" Type="http://schemas.openxmlformats.org/officeDocument/2006/relationships/image" Target="images/bulletitem.ICO"/><Relationship Id="togglenumbering" Type="http://schemas.openxmlformats.org/officeDocument/2006/relationships/image" Target="images/togglenumbering.ICO"/><Relationship Id="eqnumber" Type="http://schemas.openxmlformats.org/officeDocument/2006/relationships/image" Target="images/eqnumber.ICO"/><Relationship Id="normalspace" Type="http://schemas.openxmlformats.org/officeDocument/2006/relationships/image" Target="images/normalspace.ICO"/><Relationship Id="abstract" Type="http://schemas.openxmlformats.org/officeDocument/2006/relationships/image" Target="images/abstract.ICO"/><Relationship Id="arrowright" Type="http://schemas.openxmlformats.org/officeDocument/2006/relationships/image" Target="images/arrowright.ICO"/><Relationship Id="equation" Type="http://schemas.openxmlformats.org/officeDocument/2006/relationships/image" Target="images/equation.ICO"/><Relationship Id="RedoStyles" Type="http://schemas.openxmlformats.org/officeDocument/2006/relationships/image" Target="images/RedoStyles.ICO"/><Relationship Id="TabCaption" Type="http://schemas.openxmlformats.org/officeDocument/2006/relationships/image" Target="images/TabCaption16.ICO"/><Relationship Id="normal" Type="http://schemas.openxmlformats.org/officeDocument/2006/relationships/image" Target="images/normal32.ICO"/><Relationship Id="squeeze" Type="http://schemas.openxmlformats.org/officeDocument/2006/relationships/image" Target="images/squeeze.ICO"/><Relationship Id="expand" Type="http://schemas.openxmlformats.org/officeDocument/2006/relationships/image" Target="images/expand.ICO"/><Relationship Id="InsertImage" Type="http://schemas.openxmlformats.org/officeDocument/2006/relationships/image" Target="images/InsertImage16.ICO"/><Relationship Id="dashitem" Type="http://schemas.openxmlformats.org/officeDocument/2006/relationships/image" Target="images/dashitem.ICO"/><Relationship Id="numitem" Type="http://schemas.openxmlformats.org/officeDocument/2006/relationships/image" Target="images/numitem.ICO"/><Relationship Id="papersubtitle" Type="http://schemas.openxmlformats.org/officeDocument/2006/relationships/image" Target="images/subtitle.ICO"/><Relationship Id="HeaderFooter" Type="http://schemas.openxmlformats.org/officeDocument/2006/relationships/image" Target="images/HeaderFooter.ICO"/></Relationships>
</file>

<file path=customUI/customUI14.xml><?xml version="1.0" encoding="utf-8"?>
<customUI xmlns="http://schemas.microsoft.com/office/2009/07/customui" onLoad="LoadSpProcRibbon">
  <ribbon startFromScratch="false">
    <tabs>
      <tab id="tabSpProc" insertBeforeMso="TabHome" label="Springer Proceedings Macros">
        <group id="grTitlePage" label="Title Page" autoScale="true">
          <button id="btnTitle" label="Title" image="papertitle" size="large" onAction="MakeTitle" screentip="Format selected text as paper title"/>
          <button id="btnSubtitle" label="Subtitle" image="papersubtitle" size="large" onAction="MakeSubtitle" screentip="Format selected text as paper subtitle (optional)"/>
          <button id="btnAuthor" label="Author" imageMso="DistributionListSelectMembers" size="large" onAction="MakeAuthor" screentip="Format selected text as paper author(s)"/>
          <box id="box1" boxStyle="vertical">
            <button id="btnORCID" label="ORCID" image="ORCID" onAction="MakeORCID" screentip="Format selected text as ORCID id" supertip="Please note that ORCID ids will not be printed. In the online version they will be replaced by icons that are linked to the related ORCID pages."/>
            <button id="btnAddress" label="Address" imageMso="MailMergeAddressBlockInsert" onAction="MakeAddress" screentip="Format selected text as affiliation (including e-mail address, URL)"/>
            <button id="btnEmail" label="E-mail" imageMso="EnvelopesAndLabelsDialog" onAction="MakeEMail" screentip="Format selected text as e-mail address or URL (apply typewriter style)"/>
          </box>
          <button id="btnAbstract" label="Abstract" image="abstract" size="large" onAction="MakeAbstract" screentip="Format selected text as abstract" supertip="If not present, the word 'Abstract' is added at the beginning of the first paragraph."/>
          <button id="btnKeywords" label="Keywords" imageMso="ReviewTrackChanges" size="large" onAction="MakeKeywords" screentip="Format selected text as keywords" supertip="If not present, the word 'Keywords' is added at the beginning of the first paragraph."/>
        </group>
        <group id="grBasicFormats" image="lncs2" label="Basic Formats" autoScale="true">
          <button id="btnH1" label="H1" imageMso="PivotTableLayoutShowInOutlineForm" size="large" onAction="H1" screentip="Format selected text as heading (level 1)"/>
          <button id="btnH2" label="H2" imageMso="PivotTableLayoutShowInCompactForm" size="large" onAction="H2" screentip="Format selected text as heading (level 2)"/>
          <button id="btnH3" label="H3" imageMso="PivotTableLayoutBlankRows" size="large" onAction="H3" screentip="Format selected text as an unnumbered heading (level 3)"/>
          <button id="btnH4" label="H4" imageMso="PivotTableLayoutSubtotals" size="large" onAction="H4" screentip="Format selected text as an unnumbered heading (level 4)"/>
          <box id="box2" boxStyle="vertical">
            <button id="btnBullet" label="Bullet Item" image="bulletitem" onAction="MakeBulletItem" screentip="Format selected text as bullet item(s)" supertip="Please note that bullets are the default for unnumbered lists in Springer proceedings."/>
            <button id="btnDash" label="Dash Item" image="dashitem" onAction="MakeDashItem" screentip="Format selected text as dash item(s)" supertip="Please note that bullets are the default for unnumbered lists in Springer proceedings."/>
            <button id="btnNumbered" label="Num Item" image="numitem" onAction="MakeNumItem" screentip="Format selected text as numbered item(s)"/>
          </box>
          <box id="box3" boxStyle="vertical">
            <button id="btnListLevelUp" label="List Level +" image="arrowright" onAction="ListLevelUp" screentip="Move the selected text one level up in the list hierarchy" supertip="This buttton can be used to create and edit nested lists (numbered and unnumbered)."/>
            <button id="btnListLevelDown" label="List Level -" image="arrowleft" onAction="ListLevelDown" screentip="Move the selected text one level down in the list hierarchy" supertip="This buttton can be used to create and edit nested lists (numbered and unnumbered)."/>
            <button id="btnToggleNum" label=" 1../..n.." image="togglenumbering" onAction="RestartNumbering" screentip="Toggle between restarting and continuing a numbered list" supertip="Applies to numbered lists only."/>
          </box>
          <button id="btnStandard" label="Normal Text" image="normal" size="large" onAction="MakeStandard" screentip="Format the selection as normal text" supertip="This button can change both paragraph format and character style. If applied to a nonstandard paragraph, the standard paragraph format is applied. If applied to a standard paragraph, the standard character style is applied. If you want to both apply the standard paragraph format and remove a nonstandard character style, simply click on the button twice."/>
          <box id="box4" boxStyle="vertical">
            <button id="btnAddSpace" label="Add Space" image="addspace" onAction="AddVerticalSpace" screentip="Add 6 pt (2.1 mm) of vertical space before the selected paragraph."/>
            <button id="btnClearSpace" label="Clear Space" image="removespace" onAction="ClearVerticalSpace" screentip="Clear any vertical space before and after the selected text"/>
            <button id="btnFootnote" label="Footnote" imageMso="FootnoteInsert" onAction="InsertFN" screentip="Add a footnote"/>
          </box>
          <button id="btnReference" label="Reference Item" imageMso="NameManager" size="large" onAction="MakeRefItem" screentip="Format selected text as reference item"/>
        </group>
        <group id="grSpecialFormats" label="Figures, Tables, Equations" autoScale="true">
          <box id="box5" boxStyle="vertical">
            <button id="btnInsImage" label="Insert Image" image="InsertImage" onAction="InsertImage" screentip="Insert an image from a file."/>
            <button id="btnFigure" label="Figure Caption" image="FigCaption" onAction="MakeFigCaption" screentip="Format the selected text as figure caption" supertip="Please note that the figure is numbered with an automatic counter that is updated whenever you reopen the document. A figure caption should always be positioned below the related figure."/>
          </box>
          <separator id="separator1"/>
          <box id="box6" boxStyle="vertical">
            <button id="btnTable" label="Table Caption" image="TabCaption" onAction="MakeTableCaption" screentip="Format the selected text as table caption" supertip="Please note that the table is numbered with an automatic counter that is updated whenever you reopen the document. A table caption should always be positioned above the related table."/>
            <gallery idMso="TableInsertGallery" label="Insert Table"/>
          </box>
          <separator id="separator2"/>
          <button id="btnEquation" label="Displayed Equation" image="equation" size="large" onAction="MakeEquation" screentip="Format the selected text as a displayed equation"/>
          <button id="btnEqCounter" label="Add Eq. Number" image="eqnumber" size="large" onAction="AddEqCounter" screentip="Add an equation number to a selected equation" supertip="The equation numbering is updated whenever you open the document"/>
          <button id="btnProgcode" label="Prog. Code" imageMso="CreateStoredProcedure" size="large" onAction="MakeProgCode" screentip="Format the selected text as program code (typewriter style)"/>
        </group>
        <group id="grRestoreTemplate" label="Template" autoScale="true">
          <button id="btnRestTemplate" label="Check Styles" imageMso="AccessThemesGallery" size="large" onAction="RestoreSettings" screentip="Restore all styles" supertip="Use this button if the original template styles might have been altered or deleted."/>
        </group>
      </tab>
    </tabs>
  </ribbon>
</customUI>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193FB2-81EC-44D6-8016-F0600FA37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1</Pages>
  <Words>4168</Words>
  <Characters>25013</Characters>
  <Application>Microsoft Office Word</Application>
  <DocSecurity>0</DocSecurity>
  <Lines>610</Lines>
  <Paragraphs>331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dataspect IT-Services, Neckargemuend, Germany</Company>
  <LinksUpToDate>false</LinksUpToDate>
  <CharactersWithSpaces>28850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 Sarat Chandra</dc:creator>
  <dc:description>Formats and macros for Springer Lecture Notes</dc:description>
  <cp:lastModifiedBy>sarat</cp:lastModifiedBy>
  <cp:revision>20</cp:revision>
  <cp:lastPrinted>2024-10-22T09:42:00Z</cp:lastPrinted>
  <dcterms:created xsi:type="dcterms:W3CDTF">2024-08-29T10:49:00Z</dcterms:created>
  <dcterms:modified xsi:type="dcterms:W3CDTF">2024-10-23T04:17:00Z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d7ca76779490a3b9f6a1280ce8416ec76f1a05b86e902ee636768d9000118f12</vt:lpwstr>
  </property>
</Properties>
</file>