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ICO" ContentType="image/.ic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2f9a12ed56c04698" Type="http://schemas.microsoft.com/office/2007/relationships/ui/extensibility" Target="customUI/customUI14.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C65D0D" w14:textId="4C667240" w:rsidR="009F7FCE" w:rsidRPr="00EE426C" w:rsidRDefault="00174110" w:rsidP="00A35521">
      <w:pPr>
        <w:pStyle w:val="papertitle"/>
      </w:pPr>
      <w:r>
        <w:t xml:space="preserve">Predicting </w:t>
      </w:r>
      <w:r w:rsidR="00A35521" w:rsidRPr="00A35521">
        <w:t>Compressive Strength of High-Density PU Foam-Filled Aluminum Tubes Using Machine Learning Algorithms</w:t>
      </w:r>
    </w:p>
    <w:p w14:paraId="67EC9B67" w14:textId="77777777" w:rsidR="00A35521" w:rsidRPr="00212B91" w:rsidRDefault="00A35521" w:rsidP="00A35521">
      <w:pPr>
        <w:pStyle w:val="author"/>
      </w:pPr>
      <w:r w:rsidRPr="00DB3303">
        <w:t>Padmaja</w:t>
      </w:r>
      <w:r>
        <w:t xml:space="preserve"> </w:t>
      </w:r>
      <w:proofErr w:type="spellStart"/>
      <w:r>
        <w:t>Gokaraju</w:t>
      </w:r>
      <w:r>
        <w:rPr>
          <w:vertAlign w:val="superscript"/>
        </w:rPr>
        <w:t>a</w:t>
      </w:r>
      <w:proofErr w:type="spellEnd"/>
      <w:r>
        <w:rPr>
          <w:vertAlign w:val="superscript"/>
        </w:rPr>
        <w:t>*</w:t>
      </w:r>
      <w:r w:rsidRPr="00DB3303">
        <w:t xml:space="preserve">, V.V.V.S. </w:t>
      </w:r>
      <w:proofErr w:type="spellStart"/>
      <w:r w:rsidRPr="00DB3303">
        <w:t>Murty</w:t>
      </w:r>
      <w:r>
        <w:rPr>
          <w:vertAlign w:val="superscript"/>
        </w:rPr>
        <w:t>b</w:t>
      </w:r>
      <w:proofErr w:type="spellEnd"/>
      <w:r w:rsidRPr="00DB3303">
        <w:t xml:space="preserve">, N.V. Ramana </w:t>
      </w:r>
      <w:proofErr w:type="spellStart"/>
      <w:r w:rsidRPr="00DB3303">
        <w:t>Rao</w:t>
      </w:r>
      <w:r>
        <w:rPr>
          <w:vertAlign w:val="superscript"/>
        </w:rPr>
        <w:t>c</w:t>
      </w:r>
      <w:proofErr w:type="spellEnd"/>
    </w:p>
    <w:p w14:paraId="7B12BCE5" w14:textId="77777777" w:rsidR="00A35521" w:rsidRPr="00DB3303" w:rsidRDefault="00A35521" w:rsidP="00A35521">
      <w:pPr>
        <w:pStyle w:val="address"/>
      </w:pPr>
      <w:proofErr w:type="spellStart"/>
      <w:r>
        <w:rPr>
          <w:vertAlign w:val="superscript"/>
        </w:rPr>
        <w:t>a</w:t>
      </w:r>
      <w:r w:rsidRPr="00DB3303">
        <w:t>Vice</w:t>
      </w:r>
      <w:proofErr w:type="spellEnd"/>
      <w:r w:rsidRPr="00DB3303">
        <w:t xml:space="preserve"> President</w:t>
      </w:r>
      <w:r>
        <w:t xml:space="preserve"> -</w:t>
      </w:r>
      <w:r w:rsidRPr="00F2330D">
        <w:rPr>
          <w:rStyle w:val="cf01"/>
          <w:i/>
          <w:sz w:val="16"/>
          <w:szCs w:val="16"/>
          <w:lang w:val="en"/>
        </w:rPr>
        <w:t>Designs</w:t>
      </w:r>
      <w:r>
        <w:rPr>
          <w:rStyle w:val="cf01"/>
          <w:i/>
          <w:sz w:val="16"/>
          <w:szCs w:val="16"/>
          <w:lang w:val="en"/>
        </w:rPr>
        <w:t>, R&amp;D</w:t>
      </w:r>
      <w:r w:rsidRPr="00DB3303">
        <w:t xml:space="preserve">, Kirby Building Systems and Structures </w:t>
      </w:r>
      <w:r>
        <w:t xml:space="preserve">India </w:t>
      </w:r>
      <w:r w:rsidRPr="00DB3303">
        <w:t>P</w:t>
      </w:r>
      <w:r>
        <w:t>v</w:t>
      </w:r>
      <w:r w:rsidRPr="00DB3303">
        <w:t>t., Ltd., Hyd</w:t>
      </w:r>
      <w:r>
        <w:t>.</w:t>
      </w:r>
    </w:p>
    <w:p w14:paraId="18E58E69" w14:textId="77777777" w:rsidR="00A35521" w:rsidRPr="00DB3303" w:rsidRDefault="00A35521" w:rsidP="00A35521">
      <w:pPr>
        <w:pStyle w:val="address"/>
      </w:pPr>
      <w:proofErr w:type="spellStart"/>
      <w:r>
        <w:rPr>
          <w:vertAlign w:val="superscript"/>
        </w:rPr>
        <w:t>b</w:t>
      </w:r>
      <w:r w:rsidRPr="00DB3303">
        <w:t>Dean</w:t>
      </w:r>
      <w:proofErr w:type="spellEnd"/>
      <w:r w:rsidRPr="00DB3303">
        <w:t xml:space="preserve"> (R&amp;D), SIET, </w:t>
      </w:r>
      <w:proofErr w:type="spellStart"/>
      <w:r w:rsidRPr="00DB3303">
        <w:t>Ibrahimpatnam</w:t>
      </w:r>
      <w:proofErr w:type="spellEnd"/>
      <w:r w:rsidRPr="00DB3303">
        <w:t>, Ranga Reddy District, Telangana, India</w:t>
      </w:r>
    </w:p>
    <w:p w14:paraId="3995174E" w14:textId="77777777" w:rsidR="00A35521" w:rsidRPr="001309A5" w:rsidRDefault="00A35521" w:rsidP="00A35521">
      <w:pPr>
        <w:pStyle w:val="address"/>
        <w:rPr>
          <w:rStyle w:val="e-mail"/>
          <w:rFonts w:ascii="Times New Roman" w:hAnsi="Times New Roman"/>
          <w:noProof w:val="0"/>
        </w:rPr>
      </w:pPr>
      <w:proofErr w:type="spellStart"/>
      <w:r>
        <w:rPr>
          <w:vertAlign w:val="superscript"/>
        </w:rPr>
        <w:t>c</w:t>
      </w:r>
      <w:r w:rsidRPr="00DB3303">
        <w:t>Director</w:t>
      </w:r>
      <w:proofErr w:type="spellEnd"/>
      <w:r w:rsidRPr="00DB3303">
        <w:t>, National Institute of Technology, Raipur, Chhattisgarh, India</w:t>
      </w:r>
      <w:r w:rsidRPr="006809AE">
        <w:br/>
      </w:r>
      <w:r>
        <w:rPr>
          <w:rStyle w:val="e-mail"/>
          <w:vertAlign w:val="superscript"/>
        </w:rPr>
        <w:t>*</w:t>
      </w:r>
      <w:r w:rsidRPr="001309A5">
        <w:rPr>
          <w:rStyle w:val="e-mail"/>
        </w:rPr>
        <w:t>gpadmaja@kirby-india.com</w:t>
      </w:r>
    </w:p>
    <w:p w14:paraId="27ABD7EA" w14:textId="4FDC00ED" w:rsidR="00A35521" w:rsidRDefault="009B2539" w:rsidP="00A35521">
      <w:pPr>
        <w:pStyle w:val="abstract"/>
        <w:ind w:firstLine="0"/>
      </w:pPr>
      <w:r w:rsidRPr="00A35521">
        <w:rPr>
          <w:b/>
          <w:bCs/>
        </w:rPr>
        <w:t>Abstract.</w:t>
      </w:r>
      <w:r w:rsidRPr="00EE426C">
        <w:rPr>
          <w:b/>
          <w:bCs/>
        </w:rPr>
        <w:t xml:space="preserve"> </w:t>
      </w:r>
      <w:r w:rsidR="00A35521">
        <w:t>High-density polyurethane (PU) foam-filled aluminum tubes represent a significant advancement in composite systems, boasting an exceptional strength-to-weight ratio and sustainability. These materials offer an economical solution for lightweight structural applications, including seismic braces, due to their effective energy absorption</w:t>
      </w:r>
      <w:r w:rsidR="00174110">
        <w:t xml:space="preserve"> capacities. </w:t>
      </w:r>
      <w:r w:rsidR="00A35521">
        <w:t>Despite the demonstrated performance of high-density PU foam-filled aluminum tubes in compression and their adequate bonding capacities, there is a notable absence of analytical and empirical models specifically for PU foam as an infill material. This study aims to address this gap by comparing existing concrete-filled tube (CFT) analytical models with experimental results and developing an empirical model using machine learning algorithms for aluminum tubes</w:t>
      </w:r>
      <w:r w:rsidR="00F301FE">
        <w:t xml:space="preserve"> filled with high-density PU foam</w:t>
      </w:r>
      <w:r w:rsidR="00A35521">
        <w:t>. The findings reveal that the diameter-to-thickness (</w:t>
      </w:r>
      <w:r w:rsidR="00DF7B6B">
        <w:t>D</w:t>
      </w:r>
      <w:r w:rsidR="00A35521">
        <w:t>/t) ratio and the length-to-diameter (L/</w:t>
      </w:r>
      <w:r w:rsidR="00DF7B6B">
        <w:t>D</w:t>
      </w:r>
      <w:r w:rsidR="00A35521">
        <w:t xml:space="preserve">) ratio significantly influence compressive resistance, affecting local and global buckling, respectively. Additionally, the material strength and geometric area of both the infill material and the metal envelope are critical factors. The study offers valuable insights into the parameters that govern compressive strength, providing recommendations for </w:t>
      </w:r>
      <w:r w:rsidR="00AC3AC0">
        <w:t xml:space="preserve">futuristic </w:t>
      </w:r>
      <w:r w:rsidR="00A35521">
        <w:t>optimal design approaches.</w:t>
      </w:r>
    </w:p>
    <w:p w14:paraId="0686F7EA" w14:textId="77777777" w:rsidR="00B83F82" w:rsidRPr="00EE426C" w:rsidRDefault="00B83F82" w:rsidP="00174110">
      <w:pPr>
        <w:pStyle w:val="abstract"/>
        <w:spacing w:after="0"/>
        <w:ind w:firstLine="0"/>
      </w:pPr>
    </w:p>
    <w:p w14:paraId="02E17F90" w14:textId="77777777" w:rsidR="00B83F82" w:rsidRPr="00EE426C" w:rsidRDefault="009B2539" w:rsidP="00174110">
      <w:pPr>
        <w:pStyle w:val="keywords"/>
      </w:pPr>
      <w:r w:rsidRPr="00174110">
        <w:rPr>
          <w:b/>
          <w:bCs/>
        </w:rPr>
        <w:t>Keywords:</w:t>
      </w:r>
      <w:r w:rsidRPr="00EE426C">
        <w:t xml:space="preserve"> </w:t>
      </w:r>
      <w:r w:rsidR="00A35521">
        <w:t>High-density PU foam-filled aluminum tubes, Compressive Strength, Analytical Model, Empirical Model, Machine Learning Algorithms</w:t>
      </w:r>
    </w:p>
    <w:p w14:paraId="1FE76997" w14:textId="77777777" w:rsidR="00A35521" w:rsidRDefault="00A35521" w:rsidP="00A35521">
      <w:pPr>
        <w:pStyle w:val="heading1"/>
      </w:pPr>
      <w:r>
        <w:t>Introduction</w:t>
      </w:r>
    </w:p>
    <w:p w14:paraId="0BCA9B21" w14:textId="59A046F5" w:rsidR="00A35521" w:rsidRPr="00A35521" w:rsidRDefault="00A35521" w:rsidP="00A35521">
      <w:pPr>
        <w:pStyle w:val="p1a"/>
      </w:pPr>
      <w:r w:rsidRPr="00A35521">
        <w:t xml:space="preserve">Concrete-filled steel tubes (CFSTs) are extensively recognized for their structural efficiency, driven by their composite behavior and effective load transfer mechanisms that benefit from triaxial confinement. However, the growing demand for lightweight and cost-effective construction solutions has shifted attention towards alternative materials such as high-density polyurethane (PU) foam-filled aluminum tubes. These composites offer promising advantages for applications like crash barriers and lightweight </w:t>
      </w:r>
      <w:r w:rsidR="004E1879">
        <w:t xml:space="preserve">structures </w:t>
      </w:r>
      <w:r w:rsidR="00174110">
        <w:t>considering</w:t>
      </w:r>
      <w:r w:rsidRPr="00A35521">
        <w:t xml:space="preserve"> their favorable strength-to-weight ratios, resistance</w:t>
      </w:r>
      <w:r w:rsidR="00174110">
        <w:t xml:space="preserve"> to corrosion</w:t>
      </w:r>
      <w:r w:rsidRPr="00A35521">
        <w:t xml:space="preserve">, and superior stiffness while mitigating torsional effects. High-density PU foam, as a </w:t>
      </w:r>
      <w:r w:rsidRPr="00A35521">
        <w:lastRenderedPageBreak/>
        <w:t>sustainable infill, enhances energy absorption and structural bonding, making it a valuable component in modern construction practices.</w:t>
      </w:r>
    </w:p>
    <w:p w14:paraId="7FC7BEC2" w14:textId="2F9B7761" w:rsidR="003B084F" w:rsidRDefault="00A35521" w:rsidP="00A35521">
      <w:r>
        <w:t xml:space="preserve">The literature reveals significant insights into the </w:t>
      </w:r>
      <w:r w:rsidR="00174110">
        <w:t>structural functionality</w:t>
      </w:r>
      <w:r>
        <w:t xml:space="preserve"> of </w:t>
      </w:r>
      <w:r w:rsidR="00174110">
        <w:t xml:space="preserve">composite </w:t>
      </w:r>
      <w:r>
        <w:t xml:space="preserve">tubes, particularly focusing on high-density PU foam. </w:t>
      </w:r>
      <w:proofErr w:type="spellStart"/>
      <w:r w:rsidRPr="00CD36A8">
        <w:t>Onsalung</w:t>
      </w:r>
      <w:proofErr w:type="spellEnd"/>
      <w:r w:rsidRPr="00CD36A8">
        <w:t xml:space="preserve"> et al. </w:t>
      </w:r>
      <w:r w:rsidR="004B47BC" w:rsidRPr="00CD36A8">
        <w:t xml:space="preserve">[1] </w:t>
      </w:r>
      <w:r w:rsidR="00174110">
        <w:t>examined</w:t>
      </w:r>
      <w:r w:rsidRPr="00CD36A8">
        <w:t xml:space="preserve"> the foam density </w:t>
      </w:r>
      <w:r w:rsidR="00174110">
        <w:t xml:space="preserve">impact </w:t>
      </w:r>
      <w:r w:rsidRPr="00CD36A8">
        <w:t xml:space="preserve">on the specific energy absorption of foam-filled steel tubes under axial crushing. Their findings indicate that higher foam densities increase the number of folds and energy absorption, with </w:t>
      </w:r>
      <w:r w:rsidR="00174110">
        <w:t>150-</w:t>
      </w:r>
      <w:r w:rsidRPr="00CD36A8">
        <w:t>200 kg/m³ foam providing an optimal</w:t>
      </w:r>
      <w:r w:rsidR="00174110">
        <w:t xml:space="preserve"> performance concerning</w:t>
      </w:r>
      <w:r w:rsidRPr="00CD36A8">
        <w:t xml:space="preserve"> structural weight</w:t>
      </w:r>
      <w:r w:rsidR="003B084F">
        <w:t xml:space="preserve"> and </w:t>
      </w:r>
      <w:r w:rsidR="003B084F" w:rsidRPr="00CD36A8">
        <w:t>energy absorption</w:t>
      </w:r>
      <w:r w:rsidRPr="00CD36A8">
        <w:t xml:space="preserve">. </w:t>
      </w:r>
      <w:proofErr w:type="spellStart"/>
      <w:r w:rsidRPr="00CD36A8">
        <w:t>Onsalung</w:t>
      </w:r>
      <w:proofErr w:type="spellEnd"/>
      <w:r w:rsidRPr="00CD36A8">
        <w:t xml:space="preserve"> et al. </w:t>
      </w:r>
      <w:r w:rsidR="004B47BC" w:rsidRPr="00CD36A8">
        <w:t>[2]</w:t>
      </w:r>
      <w:r w:rsidRPr="00CD36A8">
        <w:t xml:space="preserve"> further explored the impact </w:t>
      </w:r>
      <w:r w:rsidR="003B084F">
        <w:t>behaviour</w:t>
      </w:r>
      <w:r w:rsidRPr="00CD36A8">
        <w:t xml:space="preserve"> of polyurethane foam-filled circular aluminum tubes, demonstrating that foam</w:t>
      </w:r>
      <w:r w:rsidR="00707560">
        <w:t>-</w:t>
      </w:r>
      <w:r w:rsidRPr="00CD36A8">
        <w:t>filling transitions</w:t>
      </w:r>
      <w:r w:rsidR="00AC3AC0" w:rsidRPr="00CD36A8">
        <w:t>,</w:t>
      </w:r>
      <w:r w:rsidRPr="00CD36A8">
        <w:t xml:space="preserve"> </w:t>
      </w:r>
      <w:r w:rsidR="00707560">
        <w:t>and </w:t>
      </w:r>
      <w:r w:rsidRPr="00CD36A8">
        <w:t>collapse modes from asymmetric to axisymmetric and enhance energy absorption.</w:t>
      </w:r>
      <w:r w:rsidR="003B084F">
        <w:t xml:space="preserve"> </w:t>
      </w:r>
      <w:proofErr w:type="spellStart"/>
      <w:r w:rsidRPr="00CD36A8">
        <w:t>Thinvongpituk</w:t>
      </w:r>
      <w:proofErr w:type="spellEnd"/>
      <w:r w:rsidRPr="00CD36A8">
        <w:t xml:space="preserve"> et al. </w:t>
      </w:r>
      <w:r w:rsidR="004B47BC" w:rsidRPr="00CD36A8">
        <w:t>[3]</w:t>
      </w:r>
      <w:r w:rsidRPr="00CD36A8">
        <w:t xml:space="preserve"> </w:t>
      </w:r>
      <w:r w:rsidR="003B084F">
        <w:t>investigated</w:t>
      </w:r>
      <w:r w:rsidRPr="00CD36A8">
        <w:t xml:space="preserve"> the crush characteristics of PU foam-filled circular steel and aluminum tubes under quasi-static </w:t>
      </w:r>
      <w:r w:rsidR="003B084F">
        <w:t>compression</w:t>
      </w:r>
      <w:r w:rsidRPr="00CD36A8">
        <w:t xml:space="preserve"> loading, revealing that foam filling alters collapse modes and enhances energy absorption, although specific energy absorption may decrease with increasing foam density.</w:t>
      </w:r>
    </w:p>
    <w:p w14:paraId="4ADD4A37" w14:textId="251E787B" w:rsidR="00A35521" w:rsidRPr="00CD36A8" w:rsidRDefault="00A35521" w:rsidP="00A35521">
      <w:r w:rsidRPr="00CD36A8">
        <w:t xml:space="preserve">Padmaja et al. </w:t>
      </w:r>
      <w:r w:rsidR="004B47BC" w:rsidRPr="00CD36A8">
        <w:t>[</w:t>
      </w:r>
      <w:r w:rsidR="00A12915" w:rsidRPr="00CD36A8">
        <w:t>4</w:t>
      </w:r>
      <w:r w:rsidR="004B47BC" w:rsidRPr="00CD36A8">
        <w:t>]</w:t>
      </w:r>
      <w:r w:rsidR="003625A2" w:rsidRPr="00CD36A8">
        <w:t xml:space="preserve"> Compared various infill materials as alternat</w:t>
      </w:r>
      <w:r w:rsidR="00707560">
        <w:t>iv</w:t>
      </w:r>
      <w:r w:rsidR="003625A2" w:rsidRPr="00CD36A8">
        <w:t>e</w:t>
      </w:r>
      <w:r w:rsidR="00707560">
        <w:t>s</w:t>
      </w:r>
      <w:r w:rsidR="003625A2" w:rsidRPr="00CD36A8">
        <w:t xml:space="preserve"> to concrete in composite</w:t>
      </w:r>
      <w:r w:rsidR="00707560">
        <w:t>-</w:t>
      </w:r>
      <w:r w:rsidR="003625A2" w:rsidRPr="00CD36A8">
        <w:t xml:space="preserve">filled tubes. As per their </w:t>
      </w:r>
      <w:r w:rsidR="00204A0F" w:rsidRPr="00CD36A8">
        <w:t>study, High</w:t>
      </w:r>
      <w:r w:rsidR="003625A2" w:rsidRPr="00CD36A8">
        <w:t xml:space="preserve">-Density PU foam </w:t>
      </w:r>
      <w:r w:rsidR="00204A0F" w:rsidRPr="00CD36A8">
        <w:t>(</w:t>
      </w:r>
      <w:r w:rsidR="003625A2" w:rsidRPr="00CD36A8">
        <w:t>150kg/m</w:t>
      </w:r>
      <w:r w:rsidR="003625A2" w:rsidRPr="00CD36A8">
        <w:rPr>
          <w:vertAlign w:val="superscript"/>
        </w:rPr>
        <w:t>3</w:t>
      </w:r>
      <w:r w:rsidR="00204A0F" w:rsidRPr="00CD36A8">
        <w:t>) filled</w:t>
      </w:r>
      <w:r w:rsidR="003625A2" w:rsidRPr="00CD36A8">
        <w:t xml:space="preserve"> </w:t>
      </w:r>
      <w:proofErr w:type="spellStart"/>
      <w:r w:rsidR="003625A2" w:rsidRPr="00CD36A8">
        <w:t>aluminium</w:t>
      </w:r>
      <w:proofErr w:type="spellEnd"/>
      <w:r w:rsidR="003625A2" w:rsidRPr="00CD36A8">
        <w:t xml:space="preserve"> tubes </w:t>
      </w:r>
      <w:r w:rsidR="00204A0F" w:rsidRPr="00CD36A8">
        <w:t xml:space="preserve">demonstrated significant composite behaviour with </w:t>
      </w:r>
      <w:r w:rsidR="003625A2" w:rsidRPr="00CD36A8">
        <w:t>consider</w:t>
      </w:r>
      <w:r w:rsidR="00204A0F" w:rsidRPr="00CD36A8">
        <w:t>able</w:t>
      </w:r>
      <w:r w:rsidR="003625A2" w:rsidRPr="00CD36A8">
        <w:t xml:space="preserve"> strength-to-weight ratio. </w:t>
      </w:r>
      <w:r w:rsidRPr="00CD36A8">
        <w:t xml:space="preserve">Further research by Padmaja et al. </w:t>
      </w:r>
      <w:r w:rsidR="004B47BC" w:rsidRPr="00CD36A8">
        <w:t>[</w:t>
      </w:r>
      <w:r w:rsidR="00A12915" w:rsidRPr="00CD36A8">
        <w:t>5</w:t>
      </w:r>
      <w:r w:rsidR="004B47BC" w:rsidRPr="00CD36A8">
        <w:t>]</w:t>
      </w:r>
      <w:r w:rsidRPr="00CD36A8">
        <w:t xml:space="preserve"> </w:t>
      </w:r>
      <w:r w:rsidR="00204A0F" w:rsidRPr="00CD36A8">
        <w:t>on</w:t>
      </w:r>
      <w:r w:rsidR="003625A2" w:rsidRPr="00CD36A8">
        <w:t xml:space="preserve"> </w:t>
      </w:r>
      <w:r w:rsidR="00707560">
        <w:t>the </w:t>
      </w:r>
      <w:r w:rsidR="003625A2" w:rsidRPr="00CD36A8">
        <w:t xml:space="preserve">quasi-static axial compression behavior of </w:t>
      </w:r>
      <w:r w:rsidR="00204A0F" w:rsidRPr="00CD36A8">
        <w:t xml:space="preserve">high-density </w:t>
      </w:r>
      <w:r w:rsidR="003625A2" w:rsidRPr="00CD36A8">
        <w:t xml:space="preserve">PU foam-filled aluminum tubes with various </w:t>
      </w:r>
      <w:r w:rsidR="00DF7B6B">
        <w:t>D</w:t>
      </w:r>
      <w:r w:rsidR="003625A2" w:rsidRPr="00CD36A8">
        <w:t>/t and L/</w:t>
      </w:r>
      <w:r w:rsidR="00DF7B6B">
        <w:t>D</w:t>
      </w:r>
      <w:r w:rsidR="003625A2" w:rsidRPr="00CD36A8">
        <w:t xml:space="preserve"> ratios,</w:t>
      </w:r>
      <w:r w:rsidR="00204A0F" w:rsidRPr="00CD36A8">
        <w:t xml:space="preserve"> confirmed enhanced local buckling resistance and load-carrying capacity due to composite action. </w:t>
      </w:r>
      <w:r w:rsidR="003625A2" w:rsidRPr="00CD36A8">
        <w:t xml:space="preserve"> </w:t>
      </w:r>
      <w:r w:rsidR="00204A0F" w:rsidRPr="00CD36A8">
        <w:t>Their</w:t>
      </w:r>
      <w:r w:rsidR="003625A2" w:rsidRPr="00CD36A8">
        <w:t xml:space="preserve"> finite element analysis supported these experimental results, emphasizing the potential of foam-filled tubes for lightweight structural </w:t>
      </w:r>
      <w:r w:rsidR="00204A0F" w:rsidRPr="00CD36A8">
        <w:t xml:space="preserve">applications. </w:t>
      </w:r>
      <w:r w:rsidRPr="00CD36A8">
        <w:t xml:space="preserve">The study validated that </w:t>
      </w:r>
      <w:r w:rsidR="00707560">
        <w:t>the </w:t>
      </w:r>
      <w:r w:rsidR="00204A0F" w:rsidRPr="00CD36A8">
        <w:t xml:space="preserve">compressive strength of </w:t>
      </w:r>
      <w:r w:rsidRPr="00CD36A8">
        <w:t>foam-filled tubes outperform</w:t>
      </w:r>
      <w:r w:rsidR="00707560">
        <w:t>s</w:t>
      </w:r>
      <w:r w:rsidRPr="00CD36A8">
        <w:t xml:space="preserve"> </w:t>
      </w:r>
      <w:r w:rsidR="00707560">
        <w:t>the </w:t>
      </w:r>
      <w:r w:rsidRPr="00CD36A8">
        <w:t xml:space="preserve">superimposition of empty tubes and foam alone, especially at lower B/t ratios. Mantena et al. </w:t>
      </w:r>
      <w:r w:rsidR="004B47BC" w:rsidRPr="00CD36A8">
        <w:t>[</w:t>
      </w:r>
      <w:r w:rsidR="00A12915" w:rsidRPr="00CD36A8">
        <w:t>6</w:t>
      </w:r>
      <w:r w:rsidR="004B47BC" w:rsidRPr="00CD36A8">
        <w:t>]</w:t>
      </w:r>
      <w:r w:rsidRPr="00CD36A8">
        <w:t xml:space="preserve"> also investigated the flexural performance of light gauge steel tubes</w:t>
      </w:r>
      <w:r w:rsidR="003B084F">
        <w:t xml:space="preserve"> filled with high</w:t>
      </w:r>
      <w:r w:rsidR="00707560">
        <w:t>-</w:t>
      </w:r>
      <w:r w:rsidR="003B084F">
        <w:t>density PU foam</w:t>
      </w:r>
      <w:r w:rsidRPr="00CD36A8">
        <w:t xml:space="preserve">, revealing a significant 60% improvement in flexural strength compared to empty tubes. This research underscored the enhanced strength-to-weight ratios and reduced local buckling, recommending </w:t>
      </w:r>
      <w:r w:rsidR="00204A0F" w:rsidRPr="00CD36A8">
        <w:t xml:space="preserve">high-density PU </w:t>
      </w:r>
      <w:r w:rsidRPr="00CD36A8">
        <w:t>foam</w:t>
      </w:r>
      <w:r w:rsidR="00204A0F" w:rsidRPr="00CD36A8">
        <w:t xml:space="preserve"> as infill material </w:t>
      </w:r>
      <w:r w:rsidR="008A733C">
        <w:t>in composite</w:t>
      </w:r>
      <w:r w:rsidR="00707560">
        <w:t>-</w:t>
      </w:r>
      <w:r w:rsidR="008A733C">
        <w:t xml:space="preserve">filled tubes </w:t>
      </w:r>
      <w:r w:rsidR="001E156E">
        <w:t xml:space="preserve">for </w:t>
      </w:r>
      <w:r w:rsidR="00204A0F" w:rsidRPr="00CD36A8">
        <w:t>structural</w:t>
      </w:r>
      <w:r w:rsidRPr="00CD36A8">
        <w:t xml:space="preserve"> applications.</w:t>
      </w:r>
    </w:p>
    <w:p w14:paraId="267509A2" w14:textId="408801D7" w:rsidR="00A35521" w:rsidRPr="00CD36A8" w:rsidRDefault="00A35521" w:rsidP="00A35521">
      <w:r w:rsidRPr="00CD36A8">
        <w:t xml:space="preserve">The reviewed literature underscores the structural efficiency and performance of high-density PU foam-filled aluminum tubes, highlighting their advantages in energy absorption, load-carrying capacity, and overall structural behavior. Despite these advancements, empirical models for compressive strength and performance optimization of these composites remain limited. This study aims to address this gap by comparing existing analytical models with experimental results and developing an empirical model using machine learning algorithms. The </w:t>
      </w:r>
      <w:r w:rsidR="00532FDD" w:rsidRPr="00CD36A8">
        <w:t>objective</w:t>
      </w:r>
      <w:r w:rsidRPr="00CD36A8">
        <w:t xml:space="preserve"> is to provide insights into the parameters influencing compressive strength and recommend </w:t>
      </w:r>
      <w:r w:rsidR="00A6344A" w:rsidRPr="00CD36A8">
        <w:t xml:space="preserve">futuristic </w:t>
      </w:r>
      <w:r w:rsidRPr="00CD36A8">
        <w:t xml:space="preserve">optimal design approaches for high-density </w:t>
      </w:r>
      <w:r w:rsidR="00532FDD" w:rsidRPr="00CD36A8">
        <w:t xml:space="preserve">(150 kg/cum) </w:t>
      </w:r>
      <w:r w:rsidRPr="00CD36A8">
        <w:t xml:space="preserve">PU foam-filled </w:t>
      </w:r>
      <w:r w:rsidR="00436118" w:rsidRPr="00CD36A8">
        <w:t>aluminum</w:t>
      </w:r>
      <w:r w:rsidR="00A6344A" w:rsidRPr="00CD36A8">
        <w:t xml:space="preserve"> </w:t>
      </w:r>
      <w:r w:rsidRPr="00CD36A8">
        <w:t>tubes. This research will contribute to enhanc</w:t>
      </w:r>
      <w:r w:rsidR="00707560">
        <w:t>ing</w:t>
      </w:r>
      <w:r w:rsidRPr="00CD36A8">
        <w:t xml:space="preserve"> the application and design calculations of these innovative composites in modern construction practices.</w:t>
      </w:r>
    </w:p>
    <w:p w14:paraId="72FF43AC" w14:textId="7FEC30F1" w:rsidR="00A35521" w:rsidRDefault="00C338B1" w:rsidP="00A35521">
      <w:pPr>
        <w:pStyle w:val="heading1"/>
      </w:pPr>
      <w:r>
        <w:lastRenderedPageBreak/>
        <w:t>Axial Compression of Empty and H</w:t>
      </w:r>
      <w:r w:rsidR="00A35521">
        <w:t>igh</w:t>
      </w:r>
      <w:r>
        <w:t>-D</w:t>
      </w:r>
      <w:r w:rsidR="00A35521">
        <w:t xml:space="preserve">ensity PU </w:t>
      </w:r>
      <w:r>
        <w:t>F</w:t>
      </w:r>
      <w:r w:rsidR="00A35521">
        <w:t>oam</w:t>
      </w:r>
      <w:r w:rsidR="00707560">
        <w:t>-</w:t>
      </w:r>
      <w:r>
        <w:t>F</w:t>
      </w:r>
      <w:r w:rsidR="00A35521">
        <w:t xml:space="preserve">illed </w:t>
      </w:r>
      <w:r>
        <w:t>A</w:t>
      </w:r>
      <w:r w:rsidR="00A35521">
        <w:t xml:space="preserve">luminum </w:t>
      </w:r>
      <w:r w:rsidR="00F66F8C">
        <w:t>Circular T</w:t>
      </w:r>
      <w:r w:rsidR="00A35521">
        <w:t>ubes</w:t>
      </w:r>
      <w:r w:rsidR="00F023ED">
        <w:t>.</w:t>
      </w:r>
    </w:p>
    <w:p w14:paraId="45D403B0" w14:textId="266E0E92" w:rsidR="00A35521" w:rsidRPr="000C2EAF" w:rsidRDefault="00A35521" w:rsidP="00A35521">
      <w:pPr>
        <w:pStyle w:val="p1a"/>
      </w:pPr>
      <w:r w:rsidRPr="00A35521">
        <w:t xml:space="preserve">The experimental and numerical investigations performed by </w:t>
      </w:r>
      <w:r w:rsidRPr="00CD36A8">
        <w:t>Padmaja et al. [</w:t>
      </w:r>
      <w:r w:rsidR="00F66F8C" w:rsidRPr="00CD36A8">
        <w:t>4</w:t>
      </w:r>
      <w:r w:rsidRPr="00CD36A8">
        <w:t>–</w:t>
      </w:r>
      <w:r w:rsidR="00F66F8C" w:rsidRPr="00CD36A8">
        <w:t>5</w:t>
      </w:r>
      <w:r w:rsidRPr="00CD36A8">
        <w:t>]</w:t>
      </w:r>
      <w:r w:rsidRPr="00A35521">
        <w:t xml:space="preserve"> demonstrated the greater compatibility of aluminum with high-density PU foam due to its bonding capabilities concerning an equal poison ratio. Their study also showcased that finite element analysis yields reasonable accuracy in comparison with experimental results, suggesting an alternative to the expensive experimental testing process. Similarly, the tests are also performed for specimens with an L/</w:t>
      </w:r>
      <w:r w:rsidR="00796D67">
        <w:t>D</w:t>
      </w:r>
      <w:r w:rsidRPr="00A35521">
        <w:t xml:space="preserve"> ratio of 4.98 and a </w:t>
      </w:r>
      <w:r w:rsidR="00796D67">
        <w:t>D</w:t>
      </w:r>
      <w:r w:rsidRPr="00A35521">
        <w:t>/t ratio of 40.2</w:t>
      </w:r>
      <w:r w:rsidR="00E06288">
        <w:t>0</w:t>
      </w:r>
      <w:r w:rsidRPr="00A35521">
        <w:t xml:space="preserve"> and 30.15</w:t>
      </w:r>
      <w:r w:rsidR="00AC7F82">
        <w:t>, in the present study</w:t>
      </w:r>
      <w:r w:rsidRPr="00A35521">
        <w:t xml:space="preserve">. By aiming to observe the variations in compressive resistance due to longitudinal and cross-sectional effects concerning global and local buckling, the findings are illustrated in </w:t>
      </w:r>
      <w:r w:rsidR="00752E96">
        <w:fldChar w:fldCharType="begin"/>
      </w:r>
      <w:r w:rsidR="00752E96">
        <w:instrText xml:space="preserve"> REF _Ref175229028 \h </w:instrText>
      </w:r>
      <w:r w:rsidR="00752E96">
        <w:fldChar w:fldCharType="separate"/>
      </w:r>
      <w:r w:rsidR="00706453">
        <w:rPr>
          <w:b/>
        </w:rPr>
        <w:t xml:space="preserve">Table </w:t>
      </w:r>
      <w:r w:rsidR="00706453">
        <w:rPr>
          <w:b/>
          <w:noProof/>
        </w:rPr>
        <w:t>1</w:t>
      </w:r>
      <w:r w:rsidR="00752E96">
        <w:fldChar w:fldCharType="end"/>
      </w:r>
      <w:r w:rsidRPr="00A35521">
        <w:t>.</w:t>
      </w:r>
    </w:p>
    <w:p w14:paraId="719E477C" w14:textId="5ACF5E15" w:rsidR="00A35521" w:rsidRDefault="00A35521" w:rsidP="00A35521">
      <w:pPr>
        <w:pStyle w:val="tablecaption"/>
      </w:pPr>
      <w:bookmarkStart w:id="0" w:name="_Ref175229028"/>
      <w:r>
        <w:rPr>
          <w:b/>
        </w:rPr>
        <w:t xml:space="preserve">Table </w:t>
      </w:r>
      <w:r>
        <w:rPr>
          <w:b/>
        </w:rPr>
        <w:fldChar w:fldCharType="begin"/>
      </w:r>
      <w:r>
        <w:rPr>
          <w:b/>
        </w:rPr>
        <w:instrText xml:space="preserve"> SEQ "Table" \* MERGEFORMAT </w:instrText>
      </w:r>
      <w:r>
        <w:rPr>
          <w:b/>
        </w:rPr>
        <w:fldChar w:fldCharType="separate"/>
      </w:r>
      <w:r w:rsidR="00706453">
        <w:rPr>
          <w:b/>
          <w:noProof/>
        </w:rPr>
        <w:t>1</w:t>
      </w:r>
      <w:r>
        <w:rPr>
          <w:b/>
        </w:rPr>
        <w:fldChar w:fldCharType="end"/>
      </w:r>
      <w:bookmarkEnd w:id="0"/>
      <w:r>
        <w:rPr>
          <w:b/>
        </w:rPr>
        <w:t>.</w:t>
      </w:r>
      <w:r>
        <w:t xml:space="preserve"> </w:t>
      </w:r>
      <w:r w:rsidRPr="00A35521">
        <w:t>Mean</w:t>
      </w:r>
      <w:r>
        <w:t xml:space="preserve"> crushing strength of high-density PU foam</w:t>
      </w:r>
      <w:r w:rsidR="00707560">
        <w:t>-</w:t>
      </w:r>
      <w:r>
        <w:t>filled aluminum tubes</w:t>
      </w:r>
      <w:r w:rsidR="00AC7F82">
        <w:t xml:space="preserve"> [5]</w:t>
      </w:r>
      <w: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9"/>
        <w:gridCol w:w="759"/>
        <w:gridCol w:w="854"/>
        <w:gridCol w:w="1011"/>
        <w:gridCol w:w="1277"/>
        <w:gridCol w:w="1014"/>
        <w:gridCol w:w="1154"/>
      </w:tblGrid>
      <w:tr w:rsidR="00A35521" w:rsidRPr="00DD694D" w14:paraId="3391193E" w14:textId="77777777" w:rsidTr="00752E96">
        <w:tc>
          <w:tcPr>
            <w:tcW w:w="603" w:type="pct"/>
            <w:vMerge w:val="restart"/>
            <w:tcBorders>
              <w:top w:val="single" w:sz="8" w:space="0" w:color="auto"/>
            </w:tcBorders>
            <w:vAlign w:val="center"/>
          </w:tcPr>
          <w:p w14:paraId="60294400"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D/t</w:t>
            </w:r>
          </w:p>
        </w:tc>
        <w:tc>
          <w:tcPr>
            <w:tcW w:w="542" w:type="pct"/>
            <w:vMerge w:val="restart"/>
            <w:tcBorders>
              <w:top w:val="single" w:sz="8" w:space="0" w:color="auto"/>
            </w:tcBorders>
            <w:vAlign w:val="center"/>
          </w:tcPr>
          <w:p w14:paraId="2A2299D4"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L/D</w:t>
            </w:r>
          </w:p>
        </w:tc>
        <w:tc>
          <w:tcPr>
            <w:tcW w:w="3014" w:type="pct"/>
            <w:gridSpan w:val="4"/>
            <w:tcBorders>
              <w:top w:val="single" w:sz="8" w:space="0" w:color="auto"/>
              <w:bottom w:val="single" w:sz="8" w:space="0" w:color="auto"/>
            </w:tcBorders>
            <w:vAlign w:val="center"/>
          </w:tcPr>
          <w:p w14:paraId="0C742E17"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Mean Crushing Strength (kN)</w:t>
            </w:r>
          </w:p>
        </w:tc>
        <w:tc>
          <w:tcPr>
            <w:tcW w:w="841" w:type="pct"/>
            <w:vMerge w:val="restart"/>
            <w:tcBorders>
              <w:top w:val="single" w:sz="8" w:space="0" w:color="auto"/>
            </w:tcBorders>
            <w:vAlign w:val="center"/>
          </w:tcPr>
          <w:p w14:paraId="6018D430" w14:textId="77777777" w:rsidR="00A35521" w:rsidRPr="00DD694D" w:rsidRDefault="00A35521" w:rsidP="00A35521">
            <w:pPr>
              <w:ind w:firstLine="0"/>
              <w:jc w:val="center"/>
              <w:rPr>
                <w:rFonts w:ascii="Times New Roman" w:hAnsi="Times New Roman" w:cs="Times New Roman"/>
                <w:sz w:val="18"/>
                <w:szCs w:val="18"/>
              </w:rPr>
            </w:pPr>
            <w:r w:rsidRPr="00DD694D">
              <w:rPr>
                <w:rFonts w:ascii="Times New Roman" w:hAnsi="Times New Roman" w:cs="Times New Roman"/>
                <w:sz w:val="18"/>
                <w:szCs w:val="18"/>
              </w:rPr>
              <w:t>Enhancement (%)</w:t>
            </w:r>
          </w:p>
        </w:tc>
      </w:tr>
      <w:tr w:rsidR="00A35521" w:rsidRPr="00DD694D" w14:paraId="58BC82B5" w14:textId="77777777" w:rsidTr="00752E96">
        <w:tc>
          <w:tcPr>
            <w:tcW w:w="603" w:type="pct"/>
            <w:vMerge/>
            <w:tcBorders>
              <w:bottom w:val="single" w:sz="8" w:space="0" w:color="auto"/>
            </w:tcBorders>
            <w:vAlign w:val="center"/>
          </w:tcPr>
          <w:p w14:paraId="60823743" w14:textId="77777777" w:rsidR="00A35521" w:rsidRPr="00DD694D" w:rsidRDefault="00A35521" w:rsidP="00A35521">
            <w:pPr>
              <w:jc w:val="center"/>
              <w:rPr>
                <w:rFonts w:ascii="Times New Roman" w:hAnsi="Times New Roman" w:cs="Times New Roman"/>
                <w:sz w:val="18"/>
                <w:szCs w:val="18"/>
              </w:rPr>
            </w:pPr>
          </w:p>
        </w:tc>
        <w:tc>
          <w:tcPr>
            <w:tcW w:w="542" w:type="pct"/>
            <w:vMerge/>
            <w:tcBorders>
              <w:bottom w:val="single" w:sz="8" w:space="0" w:color="auto"/>
            </w:tcBorders>
            <w:vAlign w:val="center"/>
          </w:tcPr>
          <w:p w14:paraId="7E8EFA13" w14:textId="77777777" w:rsidR="00A35521" w:rsidRPr="00DD694D" w:rsidRDefault="00A35521" w:rsidP="00A35521">
            <w:pPr>
              <w:jc w:val="center"/>
              <w:rPr>
                <w:rFonts w:ascii="Times New Roman" w:hAnsi="Times New Roman" w:cs="Times New Roman"/>
                <w:sz w:val="18"/>
                <w:szCs w:val="18"/>
              </w:rPr>
            </w:pPr>
          </w:p>
        </w:tc>
        <w:tc>
          <w:tcPr>
            <w:tcW w:w="606" w:type="pct"/>
            <w:tcBorders>
              <w:top w:val="single" w:sz="8" w:space="0" w:color="auto"/>
              <w:bottom w:val="single" w:sz="8" w:space="0" w:color="auto"/>
            </w:tcBorders>
            <w:vAlign w:val="center"/>
          </w:tcPr>
          <w:p w14:paraId="4E1CAAF4"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Foam</w:t>
            </w:r>
          </w:p>
        </w:tc>
        <w:tc>
          <w:tcPr>
            <w:tcW w:w="738" w:type="pct"/>
            <w:tcBorders>
              <w:top w:val="single" w:sz="8" w:space="0" w:color="auto"/>
              <w:bottom w:val="single" w:sz="8" w:space="0" w:color="auto"/>
            </w:tcBorders>
            <w:vAlign w:val="center"/>
          </w:tcPr>
          <w:p w14:paraId="3CD73CD1"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Empty</w:t>
            </w:r>
          </w:p>
        </w:tc>
        <w:tc>
          <w:tcPr>
            <w:tcW w:w="930" w:type="pct"/>
            <w:tcBorders>
              <w:top w:val="single" w:sz="8" w:space="0" w:color="auto"/>
              <w:bottom w:val="single" w:sz="8" w:space="0" w:color="auto"/>
            </w:tcBorders>
            <w:vAlign w:val="center"/>
          </w:tcPr>
          <w:p w14:paraId="2844E02A" w14:textId="77777777" w:rsidR="00A35521" w:rsidRPr="00DD694D" w:rsidRDefault="00A35521" w:rsidP="00A35521">
            <w:pPr>
              <w:ind w:firstLine="0"/>
              <w:jc w:val="center"/>
              <w:rPr>
                <w:rFonts w:ascii="Times New Roman" w:hAnsi="Times New Roman" w:cs="Times New Roman"/>
                <w:sz w:val="18"/>
                <w:szCs w:val="18"/>
              </w:rPr>
            </w:pPr>
            <w:r w:rsidRPr="00DD694D">
              <w:rPr>
                <w:rFonts w:ascii="Times New Roman" w:hAnsi="Times New Roman" w:cs="Times New Roman"/>
                <w:sz w:val="18"/>
                <w:szCs w:val="18"/>
              </w:rPr>
              <w:t>Foam + empty</w:t>
            </w:r>
          </w:p>
        </w:tc>
        <w:tc>
          <w:tcPr>
            <w:tcW w:w="740" w:type="pct"/>
            <w:tcBorders>
              <w:top w:val="single" w:sz="8" w:space="0" w:color="auto"/>
              <w:bottom w:val="single" w:sz="8" w:space="0" w:color="auto"/>
            </w:tcBorders>
            <w:vAlign w:val="center"/>
          </w:tcPr>
          <w:p w14:paraId="7558749C" w14:textId="77777777" w:rsidR="00A35521" w:rsidRPr="00DD694D" w:rsidRDefault="00A35521" w:rsidP="00A35521">
            <w:pPr>
              <w:ind w:firstLine="0"/>
              <w:jc w:val="center"/>
              <w:rPr>
                <w:rFonts w:ascii="Times New Roman" w:hAnsi="Times New Roman" w:cs="Times New Roman"/>
                <w:sz w:val="18"/>
                <w:szCs w:val="18"/>
              </w:rPr>
            </w:pPr>
            <w:r w:rsidRPr="00DD694D">
              <w:rPr>
                <w:rFonts w:ascii="Times New Roman" w:hAnsi="Times New Roman" w:cs="Times New Roman"/>
                <w:sz w:val="18"/>
                <w:szCs w:val="18"/>
              </w:rPr>
              <w:t>Foam filled</w:t>
            </w:r>
          </w:p>
        </w:tc>
        <w:tc>
          <w:tcPr>
            <w:tcW w:w="841" w:type="pct"/>
            <w:vMerge/>
            <w:tcBorders>
              <w:bottom w:val="single" w:sz="8" w:space="0" w:color="auto"/>
            </w:tcBorders>
            <w:vAlign w:val="center"/>
          </w:tcPr>
          <w:p w14:paraId="5D7E7E34" w14:textId="77777777" w:rsidR="00A35521" w:rsidRPr="00DD694D" w:rsidRDefault="00A35521" w:rsidP="00A35521">
            <w:pPr>
              <w:jc w:val="center"/>
              <w:rPr>
                <w:rFonts w:ascii="Times New Roman" w:hAnsi="Times New Roman" w:cs="Times New Roman"/>
                <w:sz w:val="18"/>
                <w:szCs w:val="18"/>
              </w:rPr>
            </w:pPr>
          </w:p>
        </w:tc>
      </w:tr>
      <w:tr w:rsidR="00A35521" w:rsidRPr="00DD694D" w14:paraId="6AB9EB55" w14:textId="77777777" w:rsidTr="00752E96">
        <w:tc>
          <w:tcPr>
            <w:tcW w:w="603" w:type="pct"/>
            <w:tcBorders>
              <w:top w:val="single" w:sz="8" w:space="0" w:color="auto"/>
            </w:tcBorders>
            <w:vAlign w:val="center"/>
          </w:tcPr>
          <w:p w14:paraId="52EF3038"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40.20</w:t>
            </w:r>
          </w:p>
        </w:tc>
        <w:tc>
          <w:tcPr>
            <w:tcW w:w="542" w:type="pct"/>
            <w:tcBorders>
              <w:top w:val="single" w:sz="8" w:space="0" w:color="auto"/>
            </w:tcBorders>
            <w:vAlign w:val="center"/>
          </w:tcPr>
          <w:p w14:paraId="3D19C5B6"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3.32</w:t>
            </w:r>
          </w:p>
        </w:tc>
        <w:tc>
          <w:tcPr>
            <w:tcW w:w="606" w:type="pct"/>
            <w:tcBorders>
              <w:top w:val="single" w:sz="8" w:space="0" w:color="auto"/>
            </w:tcBorders>
            <w:vAlign w:val="center"/>
          </w:tcPr>
          <w:p w14:paraId="20C2AA24"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2.58</w:t>
            </w:r>
          </w:p>
        </w:tc>
        <w:tc>
          <w:tcPr>
            <w:tcW w:w="738" w:type="pct"/>
            <w:tcBorders>
              <w:top w:val="single" w:sz="8" w:space="0" w:color="auto"/>
            </w:tcBorders>
            <w:vAlign w:val="center"/>
          </w:tcPr>
          <w:p w14:paraId="6705E471"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28.27</w:t>
            </w:r>
          </w:p>
        </w:tc>
        <w:tc>
          <w:tcPr>
            <w:tcW w:w="930" w:type="pct"/>
            <w:tcBorders>
              <w:top w:val="single" w:sz="8" w:space="0" w:color="auto"/>
            </w:tcBorders>
            <w:vAlign w:val="center"/>
          </w:tcPr>
          <w:p w14:paraId="6819BA2F"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30.85</w:t>
            </w:r>
          </w:p>
        </w:tc>
        <w:tc>
          <w:tcPr>
            <w:tcW w:w="740" w:type="pct"/>
            <w:tcBorders>
              <w:top w:val="single" w:sz="8" w:space="0" w:color="auto"/>
            </w:tcBorders>
            <w:vAlign w:val="center"/>
          </w:tcPr>
          <w:p w14:paraId="3E0895EF"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46.77</w:t>
            </w:r>
          </w:p>
        </w:tc>
        <w:tc>
          <w:tcPr>
            <w:tcW w:w="841" w:type="pct"/>
            <w:tcBorders>
              <w:top w:val="single" w:sz="8" w:space="0" w:color="auto"/>
            </w:tcBorders>
            <w:vAlign w:val="center"/>
          </w:tcPr>
          <w:p w14:paraId="6A6CCB23" w14:textId="77777777" w:rsidR="00A35521" w:rsidRPr="00DD694D" w:rsidRDefault="00A35521" w:rsidP="00A35521">
            <w:pPr>
              <w:rPr>
                <w:rFonts w:ascii="Times New Roman" w:hAnsi="Times New Roman" w:cs="Times New Roman"/>
                <w:color w:val="000000"/>
                <w:sz w:val="18"/>
                <w:szCs w:val="18"/>
              </w:rPr>
            </w:pPr>
            <w:r w:rsidRPr="00DD694D">
              <w:rPr>
                <w:rFonts w:ascii="Times New Roman" w:hAnsi="Times New Roman" w:cs="Times New Roman"/>
                <w:color w:val="000000"/>
                <w:sz w:val="18"/>
                <w:szCs w:val="18"/>
              </w:rPr>
              <w:t>51.60</w:t>
            </w:r>
          </w:p>
        </w:tc>
      </w:tr>
      <w:tr w:rsidR="00A35521" w:rsidRPr="00DD694D" w14:paraId="655C6243" w14:textId="77777777" w:rsidTr="00752E96">
        <w:tc>
          <w:tcPr>
            <w:tcW w:w="603" w:type="pct"/>
            <w:vAlign w:val="center"/>
          </w:tcPr>
          <w:p w14:paraId="7986121D"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30.15</w:t>
            </w:r>
          </w:p>
        </w:tc>
        <w:tc>
          <w:tcPr>
            <w:tcW w:w="542" w:type="pct"/>
            <w:vAlign w:val="center"/>
          </w:tcPr>
          <w:p w14:paraId="2771D481"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3.32</w:t>
            </w:r>
          </w:p>
        </w:tc>
        <w:tc>
          <w:tcPr>
            <w:tcW w:w="606" w:type="pct"/>
            <w:vAlign w:val="center"/>
          </w:tcPr>
          <w:p w14:paraId="54F216FA"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2.58</w:t>
            </w:r>
          </w:p>
        </w:tc>
        <w:tc>
          <w:tcPr>
            <w:tcW w:w="738" w:type="pct"/>
            <w:vAlign w:val="center"/>
          </w:tcPr>
          <w:p w14:paraId="666864E9"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39.88</w:t>
            </w:r>
          </w:p>
        </w:tc>
        <w:tc>
          <w:tcPr>
            <w:tcW w:w="930" w:type="pct"/>
            <w:vAlign w:val="center"/>
          </w:tcPr>
          <w:p w14:paraId="4DF434A8"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42.46</w:t>
            </w:r>
          </w:p>
        </w:tc>
        <w:tc>
          <w:tcPr>
            <w:tcW w:w="740" w:type="pct"/>
            <w:vAlign w:val="center"/>
          </w:tcPr>
          <w:p w14:paraId="2C94EE18"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49.10</w:t>
            </w:r>
          </w:p>
        </w:tc>
        <w:tc>
          <w:tcPr>
            <w:tcW w:w="841" w:type="pct"/>
            <w:vAlign w:val="center"/>
          </w:tcPr>
          <w:p w14:paraId="687ED91F" w14:textId="77777777" w:rsidR="00A35521" w:rsidRPr="00DD694D" w:rsidRDefault="00A35521" w:rsidP="00A35521">
            <w:pPr>
              <w:rPr>
                <w:rFonts w:ascii="Times New Roman" w:hAnsi="Times New Roman" w:cs="Times New Roman"/>
                <w:color w:val="000000"/>
                <w:sz w:val="18"/>
                <w:szCs w:val="18"/>
              </w:rPr>
            </w:pPr>
            <w:r w:rsidRPr="00DD694D">
              <w:rPr>
                <w:rFonts w:ascii="Times New Roman" w:hAnsi="Times New Roman" w:cs="Times New Roman"/>
                <w:color w:val="000000"/>
                <w:sz w:val="18"/>
                <w:szCs w:val="18"/>
              </w:rPr>
              <w:t>15.64</w:t>
            </w:r>
          </w:p>
        </w:tc>
      </w:tr>
      <w:tr w:rsidR="00A35521" w:rsidRPr="00DD694D" w14:paraId="61F7AA74" w14:textId="77777777" w:rsidTr="00752E96">
        <w:tc>
          <w:tcPr>
            <w:tcW w:w="603" w:type="pct"/>
            <w:vAlign w:val="center"/>
          </w:tcPr>
          <w:p w14:paraId="243282AD" w14:textId="4670608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40.2</w:t>
            </w:r>
            <w:r w:rsidR="009E11F0">
              <w:rPr>
                <w:rFonts w:ascii="Times New Roman" w:hAnsi="Times New Roman" w:cs="Times New Roman"/>
                <w:sz w:val="18"/>
                <w:szCs w:val="18"/>
              </w:rPr>
              <w:t>0</w:t>
            </w:r>
          </w:p>
        </w:tc>
        <w:tc>
          <w:tcPr>
            <w:tcW w:w="542" w:type="pct"/>
            <w:vAlign w:val="center"/>
          </w:tcPr>
          <w:p w14:paraId="40CBF4A0"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4.98</w:t>
            </w:r>
          </w:p>
        </w:tc>
        <w:tc>
          <w:tcPr>
            <w:tcW w:w="606" w:type="pct"/>
            <w:vAlign w:val="center"/>
          </w:tcPr>
          <w:p w14:paraId="6B74666E"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2.58</w:t>
            </w:r>
          </w:p>
        </w:tc>
        <w:tc>
          <w:tcPr>
            <w:tcW w:w="738" w:type="pct"/>
            <w:vAlign w:val="center"/>
          </w:tcPr>
          <w:p w14:paraId="6B8A6EAA"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26.86</w:t>
            </w:r>
          </w:p>
        </w:tc>
        <w:tc>
          <w:tcPr>
            <w:tcW w:w="930" w:type="pct"/>
            <w:vAlign w:val="center"/>
          </w:tcPr>
          <w:p w14:paraId="38C44E65"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29.44</w:t>
            </w:r>
          </w:p>
        </w:tc>
        <w:tc>
          <w:tcPr>
            <w:tcW w:w="740" w:type="pct"/>
            <w:vAlign w:val="center"/>
          </w:tcPr>
          <w:p w14:paraId="5E003C0D"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45.37</w:t>
            </w:r>
          </w:p>
        </w:tc>
        <w:tc>
          <w:tcPr>
            <w:tcW w:w="841" w:type="pct"/>
            <w:vAlign w:val="center"/>
          </w:tcPr>
          <w:p w14:paraId="4A0CA3E0" w14:textId="77777777" w:rsidR="00A35521" w:rsidRPr="00DD694D" w:rsidRDefault="00A35521" w:rsidP="00A35521">
            <w:pPr>
              <w:rPr>
                <w:rFonts w:ascii="Times New Roman" w:hAnsi="Times New Roman" w:cs="Times New Roman"/>
                <w:color w:val="000000"/>
                <w:sz w:val="18"/>
                <w:szCs w:val="18"/>
              </w:rPr>
            </w:pPr>
            <w:r w:rsidRPr="00DD694D">
              <w:rPr>
                <w:rFonts w:ascii="Times New Roman" w:hAnsi="Times New Roman" w:cs="Times New Roman"/>
                <w:color w:val="000000"/>
                <w:sz w:val="18"/>
                <w:szCs w:val="18"/>
              </w:rPr>
              <w:t>54.11</w:t>
            </w:r>
          </w:p>
        </w:tc>
      </w:tr>
      <w:tr w:rsidR="00A35521" w:rsidRPr="00DD694D" w14:paraId="4A1631C2" w14:textId="77777777" w:rsidTr="00085E06">
        <w:tc>
          <w:tcPr>
            <w:tcW w:w="603" w:type="pct"/>
            <w:tcBorders>
              <w:bottom w:val="single" w:sz="8" w:space="0" w:color="auto"/>
            </w:tcBorders>
            <w:vAlign w:val="center"/>
          </w:tcPr>
          <w:p w14:paraId="75531B6C"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30.15</w:t>
            </w:r>
          </w:p>
        </w:tc>
        <w:tc>
          <w:tcPr>
            <w:tcW w:w="542" w:type="pct"/>
            <w:tcBorders>
              <w:bottom w:val="single" w:sz="8" w:space="0" w:color="auto"/>
            </w:tcBorders>
            <w:vAlign w:val="center"/>
          </w:tcPr>
          <w:p w14:paraId="10500509" w14:textId="77777777" w:rsidR="00A35521" w:rsidRPr="00DD694D" w:rsidRDefault="00A35521" w:rsidP="00A35521">
            <w:pPr>
              <w:jc w:val="center"/>
              <w:rPr>
                <w:rFonts w:ascii="Times New Roman" w:hAnsi="Times New Roman" w:cs="Times New Roman"/>
                <w:sz w:val="18"/>
                <w:szCs w:val="18"/>
              </w:rPr>
            </w:pPr>
            <w:r w:rsidRPr="00DD694D">
              <w:rPr>
                <w:rFonts w:ascii="Times New Roman" w:hAnsi="Times New Roman" w:cs="Times New Roman"/>
                <w:sz w:val="18"/>
                <w:szCs w:val="18"/>
              </w:rPr>
              <w:t>4.98</w:t>
            </w:r>
          </w:p>
        </w:tc>
        <w:tc>
          <w:tcPr>
            <w:tcW w:w="606" w:type="pct"/>
            <w:tcBorders>
              <w:bottom w:val="single" w:sz="8" w:space="0" w:color="auto"/>
            </w:tcBorders>
            <w:vAlign w:val="center"/>
          </w:tcPr>
          <w:p w14:paraId="68DDD50D"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2.58</w:t>
            </w:r>
          </w:p>
        </w:tc>
        <w:tc>
          <w:tcPr>
            <w:tcW w:w="738" w:type="pct"/>
            <w:tcBorders>
              <w:bottom w:val="single" w:sz="8" w:space="0" w:color="auto"/>
            </w:tcBorders>
            <w:vAlign w:val="center"/>
          </w:tcPr>
          <w:p w14:paraId="21434910"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37.89</w:t>
            </w:r>
          </w:p>
        </w:tc>
        <w:tc>
          <w:tcPr>
            <w:tcW w:w="930" w:type="pct"/>
            <w:tcBorders>
              <w:bottom w:val="single" w:sz="8" w:space="0" w:color="auto"/>
            </w:tcBorders>
            <w:vAlign w:val="center"/>
          </w:tcPr>
          <w:p w14:paraId="2D56AF86"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40.47</w:t>
            </w:r>
          </w:p>
        </w:tc>
        <w:tc>
          <w:tcPr>
            <w:tcW w:w="740" w:type="pct"/>
            <w:tcBorders>
              <w:bottom w:val="single" w:sz="8" w:space="0" w:color="auto"/>
            </w:tcBorders>
            <w:vAlign w:val="center"/>
          </w:tcPr>
          <w:p w14:paraId="719870CF" w14:textId="77777777" w:rsidR="00A35521" w:rsidRPr="00DD694D" w:rsidRDefault="00A35521" w:rsidP="00A35521">
            <w:pPr>
              <w:rPr>
                <w:rFonts w:ascii="Times New Roman" w:hAnsi="Times New Roman" w:cs="Times New Roman"/>
                <w:sz w:val="18"/>
                <w:szCs w:val="18"/>
              </w:rPr>
            </w:pPr>
            <w:r w:rsidRPr="00DD694D">
              <w:rPr>
                <w:rFonts w:ascii="Times New Roman" w:hAnsi="Times New Roman" w:cs="Times New Roman"/>
                <w:sz w:val="18"/>
                <w:szCs w:val="18"/>
              </w:rPr>
              <w:t>47.63</w:t>
            </w:r>
          </w:p>
        </w:tc>
        <w:tc>
          <w:tcPr>
            <w:tcW w:w="841" w:type="pct"/>
            <w:tcBorders>
              <w:bottom w:val="single" w:sz="8" w:space="0" w:color="auto"/>
            </w:tcBorders>
            <w:vAlign w:val="center"/>
          </w:tcPr>
          <w:p w14:paraId="002C99D5" w14:textId="77777777" w:rsidR="00A35521" w:rsidRPr="00DD694D" w:rsidRDefault="00A35521" w:rsidP="00A35521">
            <w:pPr>
              <w:rPr>
                <w:rFonts w:ascii="Times New Roman" w:hAnsi="Times New Roman" w:cs="Times New Roman"/>
                <w:color w:val="000000"/>
                <w:sz w:val="18"/>
                <w:szCs w:val="18"/>
              </w:rPr>
            </w:pPr>
            <w:r w:rsidRPr="00DD694D">
              <w:rPr>
                <w:rFonts w:ascii="Times New Roman" w:hAnsi="Times New Roman" w:cs="Times New Roman"/>
                <w:color w:val="000000"/>
                <w:sz w:val="18"/>
                <w:szCs w:val="18"/>
              </w:rPr>
              <w:t>17.69</w:t>
            </w:r>
          </w:p>
        </w:tc>
      </w:tr>
    </w:tbl>
    <w:p w14:paraId="507FADDA" w14:textId="77777777" w:rsidR="00A35521" w:rsidRDefault="00A35521" w:rsidP="00A35521"/>
    <w:p w14:paraId="486F785F" w14:textId="5A088436" w:rsidR="00A35521" w:rsidRDefault="00A35521" w:rsidP="00A35521">
      <w:pPr>
        <w:pStyle w:val="tablecaption"/>
      </w:pPr>
      <w:bookmarkStart w:id="1" w:name="_Ref175229041"/>
      <w:r>
        <w:rPr>
          <w:b/>
        </w:rPr>
        <w:t xml:space="preserve">Table </w:t>
      </w:r>
      <w:r>
        <w:rPr>
          <w:b/>
        </w:rPr>
        <w:fldChar w:fldCharType="begin"/>
      </w:r>
      <w:r>
        <w:rPr>
          <w:b/>
        </w:rPr>
        <w:instrText xml:space="preserve"> SEQ "Table" \* MERGEFORMAT </w:instrText>
      </w:r>
      <w:r>
        <w:rPr>
          <w:b/>
        </w:rPr>
        <w:fldChar w:fldCharType="separate"/>
      </w:r>
      <w:r w:rsidR="00706453">
        <w:rPr>
          <w:b/>
          <w:noProof/>
        </w:rPr>
        <w:t>2</w:t>
      </w:r>
      <w:r>
        <w:rPr>
          <w:b/>
        </w:rPr>
        <w:fldChar w:fldCharType="end"/>
      </w:r>
      <w:bookmarkEnd w:id="1"/>
      <w:r>
        <w:rPr>
          <w:b/>
        </w:rPr>
        <w:t>.</w:t>
      </w:r>
      <w:r>
        <w:t xml:space="preserve"> </w:t>
      </w:r>
      <w:r w:rsidR="003B084F">
        <w:t>Buckling</w:t>
      </w:r>
      <w:r>
        <w:t xml:space="preserve"> modes of high-density PU foam</w:t>
      </w:r>
      <w:r w:rsidR="00707560">
        <w:t>-</w:t>
      </w:r>
      <w:r>
        <w:t>filled aluminum tubes (L/</w:t>
      </w:r>
      <w:r w:rsidR="007D49AF">
        <w:t>D</w:t>
      </w:r>
      <w:r>
        <w:t xml:space="preserve"> of 3.32)</w:t>
      </w:r>
      <w:r w:rsidR="00AC7F82">
        <w:t xml:space="preserve"> [4]</w:t>
      </w:r>
      <w:r>
        <w:t>.</w:t>
      </w:r>
    </w:p>
    <w:tbl>
      <w:tblPr>
        <w:tblStyle w:val="TableGrid"/>
        <w:tblW w:w="4794"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71"/>
        <w:gridCol w:w="1441"/>
        <w:gridCol w:w="1442"/>
        <w:gridCol w:w="1441"/>
        <w:gridCol w:w="1438"/>
      </w:tblGrid>
      <w:tr w:rsidR="00752E96" w:rsidRPr="00DD694D" w14:paraId="5F44074D" w14:textId="77777777" w:rsidTr="00CD25F0">
        <w:trPr>
          <w:trHeight w:val="288"/>
        </w:trPr>
        <w:tc>
          <w:tcPr>
            <w:tcW w:w="657" w:type="pct"/>
            <w:vMerge w:val="restart"/>
            <w:tcBorders>
              <w:top w:val="single" w:sz="8" w:space="0" w:color="auto"/>
            </w:tcBorders>
            <w:vAlign w:val="center"/>
          </w:tcPr>
          <w:p w14:paraId="77699E2A" w14:textId="77777777" w:rsidR="00A35521" w:rsidRPr="00DD694D" w:rsidRDefault="00A35521" w:rsidP="00752E96">
            <w:pPr>
              <w:jc w:val="center"/>
              <w:rPr>
                <w:rFonts w:ascii="Times New Roman" w:hAnsi="Times New Roman" w:cs="Times New Roman"/>
                <w:sz w:val="18"/>
                <w:szCs w:val="18"/>
              </w:rPr>
            </w:pPr>
            <w:r w:rsidRPr="00DD694D">
              <w:rPr>
                <w:rFonts w:ascii="Times New Roman" w:hAnsi="Times New Roman" w:cs="Times New Roman"/>
                <w:sz w:val="18"/>
                <w:szCs w:val="18"/>
              </w:rPr>
              <w:t>D/t</w:t>
            </w:r>
          </w:p>
        </w:tc>
        <w:tc>
          <w:tcPr>
            <w:tcW w:w="2173" w:type="pct"/>
            <w:gridSpan w:val="2"/>
            <w:tcBorders>
              <w:top w:val="single" w:sz="8" w:space="0" w:color="auto"/>
              <w:bottom w:val="single" w:sz="8" w:space="0" w:color="auto"/>
            </w:tcBorders>
            <w:vAlign w:val="center"/>
          </w:tcPr>
          <w:p w14:paraId="29E5A04E" w14:textId="77777777" w:rsidR="00A35521" w:rsidRPr="00DD694D" w:rsidRDefault="00A35521" w:rsidP="00B83F82">
            <w:pPr>
              <w:jc w:val="center"/>
              <w:rPr>
                <w:rFonts w:ascii="Times New Roman" w:hAnsi="Times New Roman" w:cs="Times New Roman"/>
                <w:sz w:val="18"/>
                <w:szCs w:val="18"/>
              </w:rPr>
            </w:pPr>
            <w:r w:rsidRPr="00DD694D">
              <w:rPr>
                <w:rFonts w:ascii="Times New Roman" w:hAnsi="Times New Roman" w:cs="Times New Roman"/>
                <w:sz w:val="18"/>
                <w:szCs w:val="18"/>
              </w:rPr>
              <w:t>Empty tubes</w:t>
            </w:r>
          </w:p>
        </w:tc>
        <w:tc>
          <w:tcPr>
            <w:tcW w:w="2170" w:type="pct"/>
            <w:gridSpan w:val="2"/>
            <w:tcBorders>
              <w:top w:val="single" w:sz="8" w:space="0" w:color="auto"/>
              <w:bottom w:val="single" w:sz="8" w:space="0" w:color="auto"/>
            </w:tcBorders>
            <w:vAlign w:val="center"/>
          </w:tcPr>
          <w:p w14:paraId="69438B4D" w14:textId="77777777" w:rsidR="00A35521" w:rsidRPr="00DD694D" w:rsidRDefault="00A35521" w:rsidP="00B83F82">
            <w:pPr>
              <w:jc w:val="center"/>
              <w:rPr>
                <w:rFonts w:ascii="Times New Roman" w:hAnsi="Times New Roman" w:cs="Times New Roman"/>
                <w:sz w:val="18"/>
                <w:szCs w:val="18"/>
              </w:rPr>
            </w:pPr>
            <w:r w:rsidRPr="00DD694D">
              <w:rPr>
                <w:rFonts w:ascii="Times New Roman" w:hAnsi="Times New Roman" w:cs="Times New Roman"/>
                <w:sz w:val="18"/>
                <w:szCs w:val="18"/>
              </w:rPr>
              <w:t>Foam filled tubes</w:t>
            </w:r>
          </w:p>
        </w:tc>
      </w:tr>
      <w:tr w:rsidR="00752E96" w:rsidRPr="00DD694D" w14:paraId="5C46B9C7" w14:textId="77777777" w:rsidTr="00CD25F0">
        <w:trPr>
          <w:trHeight w:val="288"/>
        </w:trPr>
        <w:tc>
          <w:tcPr>
            <w:tcW w:w="657" w:type="pct"/>
            <w:vMerge/>
            <w:tcBorders>
              <w:bottom w:val="single" w:sz="8" w:space="0" w:color="auto"/>
            </w:tcBorders>
            <w:vAlign w:val="center"/>
          </w:tcPr>
          <w:p w14:paraId="4FD8F841" w14:textId="77777777" w:rsidR="00A35521" w:rsidRPr="00DD694D" w:rsidRDefault="00A35521" w:rsidP="00B83F82">
            <w:pPr>
              <w:jc w:val="center"/>
              <w:rPr>
                <w:rFonts w:ascii="Times New Roman" w:hAnsi="Times New Roman" w:cs="Times New Roman"/>
                <w:sz w:val="18"/>
                <w:szCs w:val="18"/>
              </w:rPr>
            </w:pPr>
          </w:p>
        </w:tc>
        <w:tc>
          <w:tcPr>
            <w:tcW w:w="1086" w:type="pct"/>
            <w:tcBorders>
              <w:top w:val="single" w:sz="8" w:space="0" w:color="auto"/>
              <w:bottom w:val="single" w:sz="8" w:space="0" w:color="auto"/>
            </w:tcBorders>
            <w:vAlign w:val="center"/>
          </w:tcPr>
          <w:p w14:paraId="51B8A2F0" w14:textId="77777777" w:rsidR="00A35521" w:rsidRPr="00DD694D" w:rsidRDefault="00752E96" w:rsidP="00B83F82">
            <w:pPr>
              <w:jc w:val="center"/>
              <w:rPr>
                <w:rFonts w:ascii="Times New Roman" w:hAnsi="Times New Roman" w:cs="Times New Roman"/>
                <w:sz w:val="18"/>
                <w:szCs w:val="18"/>
              </w:rPr>
            </w:pPr>
            <w:r w:rsidRPr="00DD694D">
              <w:rPr>
                <w:rFonts w:ascii="Times New Roman" w:hAnsi="Times New Roman" w:cs="Times New Roman"/>
                <w:sz w:val="18"/>
                <w:szCs w:val="18"/>
              </w:rPr>
              <w:t>Exp.</w:t>
            </w:r>
          </w:p>
        </w:tc>
        <w:tc>
          <w:tcPr>
            <w:tcW w:w="1086" w:type="pct"/>
            <w:tcBorders>
              <w:top w:val="single" w:sz="8" w:space="0" w:color="auto"/>
              <w:bottom w:val="single" w:sz="8" w:space="0" w:color="auto"/>
            </w:tcBorders>
            <w:vAlign w:val="center"/>
          </w:tcPr>
          <w:p w14:paraId="334FBC69" w14:textId="77777777" w:rsidR="00A35521" w:rsidRPr="00DD694D" w:rsidRDefault="00A35521" w:rsidP="00B83F82">
            <w:pPr>
              <w:jc w:val="center"/>
              <w:rPr>
                <w:rFonts w:ascii="Times New Roman" w:hAnsi="Times New Roman" w:cs="Times New Roman"/>
                <w:sz w:val="18"/>
                <w:szCs w:val="18"/>
              </w:rPr>
            </w:pPr>
            <w:r w:rsidRPr="00DD694D">
              <w:rPr>
                <w:rFonts w:ascii="Times New Roman" w:hAnsi="Times New Roman" w:cs="Times New Roman"/>
                <w:sz w:val="18"/>
                <w:szCs w:val="18"/>
              </w:rPr>
              <w:t>FEA</w:t>
            </w:r>
          </w:p>
        </w:tc>
        <w:tc>
          <w:tcPr>
            <w:tcW w:w="1086" w:type="pct"/>
            <w:tcBorders>
              <w:top w:val="single" w:sz="8" w:space="0" w:color="auto"/>
              <w:bottom w:val="single" w:sz="8" w:space="0" w:color="auto"/>
            </w:tcBorders>
            <w:vAlign w:val="center"/>
          </w:tcPr>
          <w:p w14:paraId="14FBDF37" w14:textId="77777777" w:rsidR="00A35521" w:rsidRPr="00DD694D" w:rsidRDefault="00752E96" w:rsidP="00B83F82">
            <w:pPr>
              <w:jc w:val="center"/>
              <w:rPr>
                <w:rFonts w:ascii="Times New Roman" w:hAnsi="Times New Roman" w:cs="Times New Roman"/>
                <w:sz w:val="18"/>
                <w:szCs w:val="18"/>
              </w:rPr>
            </w:pPr>
            <w:r w:rsidRPr="00DD694D">
              <w:rPr>
                <w:rFonts w:ascii="Times New Roman" w:hAnsi="Times New Roman" w:cs="Times New Roman"/>
                <w:sz w:val="18"/>
                <w:szCs w:val="18"/>
              </w:rPr>
              <w:t>Exp.</w:t>
            </w:r>
          </w:p>
        </w:tc>
        <w:tc>
          <w:tcPr>
            <w:tcW w:w="1084" w:type="pct"/>
            <w:tcBorders>
              <w:top w:val="single" w:sz="8" w:space="0" w:color="auto"/>
              <w:bottom w:val="single" w:sz="8" w:space="0" w:color="auto"/>
            </w:tcBorders>
            <w:vAlign w:val="center"/>
          </w:tcPr>
          <w:p w14:paraId="1DAEF702" w14:textId="77777777" w:rsidR="00A35521" w:rsidRPr="00DD694D" w:rsidRDefault="00A35521" w:rsidP="00B83F82">
            <w:pPr>
              <w:jc w:val="center"/>
              <w:rPr>
                <w:rFonts w:ascii="Times New Roman" w:hAnsi="Times New Roman" w:cs="Times New Roman"/>
                <w:sz w:val="18"/>
                <w:szCs w:val="18"/>
              </w:rPr>
            </w:pPr>
            <w:r w:rsidRPr="00DD694D">
              <w:rPr>
                <w:rFonts w:ascii="Times New Roman" w:hAnsi="Times New Roman" w:cs="Times New Roman"/>
                <w:sz w:val="18"/>
                <w:szCs w:val="18"/>
              </w:rPr>
              <w:t>FEA</w:t>
            </w:r>
          </w:p>
        </w:tc>
      </w:tr>
      <w:tr w:rsidR="00752E96" w:rsidRPr="00DD694D" w14:paraId="39C1C5B0" w14:textId="77777777" w:rsidTr="00CD25F0">
        <w:trPr>
          <w:cantSplit/>
          <w:trHeight w:val="1872"/>
        </w:trPr>
        <w:tc>
          <w:tcPr>
            <w:tcW w:w="657" w:type="pct"/>
            <w:tcBorders>
              <w:top w:val="single" w:sz="8" w:space="0" w:color="auto"/>
              <w:bottom w:val="single" w:sz="8" w:space="0" w:color="auto"/>
            </w:tcBorders>
            <w:textDirection w:val="btLr"/>
            <w:vAlign w:val="center"/>
          </w:tcPr>
          <w:p w14:paraId="2051EE06" w14:textId="77777777" w:rsidR="00A35521" w:rsidRPr="00DD694D" w:rsidRDefault="00A35521" w:rsidP="00A35521">
            <w:pPr>
              <w:ind w:right="113"/>
              <w:jc w:val="center"/>
              <w:rPr>
                <w:rFonts w:ascii="Times New Roman" w:hAnsi="Times New Roman" w:cs="Times New Roman"/>
                <w:sz w:val="18"/>
                <w:szCs w:val="18"/>
              </w:rPr>
            </w:pPr>
            <w:r w:rsidRPr="00DD694D">
              <w:rPr>
                <w:rFonts w:ascii="Times New Roman" w:hAnsi="Times New Roman" w:cs="Times New Roman"/>
                <w:sz w:val="18"/>
                <w:szCs w:val="18"/>
              </w:rPr>
              <w:t>30.15</w:t>
            </w:r>
          </w:p>
        </w:tc>
        <w:tc>
          <w:tcPr>
            <w:tcW w:w="1086" w:type="pct"/>
            <w:tcBorders>
              <w:top w:val="single" w:sz="8" w:space="0" w:color="auto"/>
              <w:bottom w:val="single" w:sz="8" w:space="0" w:color="auto"/>
            </w:tcBorders>
            <w:vAlign w:val="center"/>
          </w:tcPr>
          <w:p w14:paraId="022510C9" w14:textId="77777777" w:rsidR="00A35521" w:rsidRPr="00DD694D" w:rsidRDefault="00A35521" w:rsidP="00B83F82">
            <w:pPr>
              <w:jc w:val="center"/>
              <w:rPr>
                <w:rFonts w:ascii="Times New Roman" w:hAnsi="Times New Roman" w:cs="Times New Roman"/>
                <w:sz w:val="18"/>
                <w:szCs w:val="18"/>
              </w:rPr>
            </w:pPr>
            <w:r w:rsidRPr="00DD694D">
              <w:rPr>
                <w:noProof/>
                <w:color w:val="000000"/>
                <w:sz w:val="18"/>
                <w:szCs w:val="18"/>
                <w:lang w:eastAsia="en-IN"/>
              </w:rPr>
              <w:drawing>
                <wp:inline distT="0" distB="0" distL="0" distR="0" wp14:anchorId="4FA4F370" wp14:editId="50E3853E">
                  <wp:extent cx="987425" cy="1097280"/>
                  <wp:effectExtent l="0" t="0" r="0" b="7620"/>
                  <wp:docPr id="269" name="Picture 236" descr="C:\Users\gpadmaja\Desktop\Technical\PhD-Final-8-11-19\PADMAJA Lab data\Al Tube Testing\Empty Al Tube Testing on 24-6-17 at JNTUH\Pictures 24-6-17\IMG_923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6" descr="C:\Users\gpadmaja\Desktop\Technical\PhD-Final-8-11-19\PADMAJA Lab data\Al Tube Testing\Empty Al Tube Testing on 24-6-17 at JNTUH\Pictures 24-6-17\IMG_9231.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9822" t="4040" r="9822"/>
                          <a:stretch/>
                        </pic:blipFill>
                        <pic:spPr bwMode="auto">
                          <a:xfrm rot="10800000" flipV="1">
                            <a:off x="0" y="0"/>
                            <a:ext cx="987425" cy="10972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86" w:type="pct"/>
            <w:tcBorders>
              <w:top w:val="single" w:sz="8" w:space="0" w:color="auto"/>
              <w:bottom w:val="single" w:sz="8" w:space="0" w:color="auto"/>
            </w:tcBorders>
            <w:vAlign w:val="center"/>
          </w:tcPr>
          <w:p w14:paraId="63018FC3" w14:textId="77777777" w:rsidR="00A35521" w:rsidRPr="00DD694D" w:rsidRDefault="00A35521" w:rsidP="00B83F82">
            <w:pPr>
              <w:jc w:val="center"/>
              <w:rPr>
                <w:rFonts w:ascii="Times New Roman" w:hAnsi="Times New Roman" w:cs="Times New Roman"/>
                <w:sz w:val="18"/>
                <w:szCs w:val="18"/>
              </w:rPr>
            </w:pPr>
            <w:r w:rsidRPr="00DD694D">
              <w:rPr>
                <w:noProof/>
                <w:sz w:val="18"/>
                <w:szCs w:val="18"/>
                <w:lang w:eastAsia="en-IN"/>
              </w:rPr>
              <w:drawing>
                <wp:inline distT="0" distB="0" distL="0" distR="0" wp14:anchorId="7778F61C" wp14:editId="76868296">
                  <wp:extent cx="759165" cy="1097280"/>
                  <wp:effectExtent l="0" t="0" r="3175" b="7620"/>
                  <wp:docPr id="270"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9">
                            <a:extLst>
                              <a:ext uri="{28A0092B-C50C-407E-A947-70E740481C1C}">
                                <a14:useLocalDpi xmlns:a14="http://schemas.microsoft.com/office/drawing/2010/main" val="0"/>
                              </a:ext>
                            </a:extLst>
                          </a:blip>
                          <a:srcRect l="40472" t="15306" r="7774" b="27463"/>
                          <a:stretch>
                            <a:fillRect/>
                          </a:stretch>
                        </pic:blipFill>
                        <pic:spPr bwMode="auto">
                          <a:xfrm>
                            <a:off x="0" y="0"/>
                            <a:ext cx="759165" cy="1097280"/>
                          </a:xfrm>
                          <a:prstGeom prst="rect">
                            <a:avLst/>
                          </a:prstGeom>
                          <a:noFill/>
                          <a:ln>
                            <a:noFill/>
                          </a:ln>
                        </pic:spPr>
                      </pic:pic>
                    </a:graphicData>
                  </a:graphic>
                </wp:inline>
              </w:drawing>
            </w:r>
          </w:p>
        </w:tc>
        <w:tc>
          <w:tcPr>
            <w:tcW w:w="1086" w:type="pct"/>
            <w:tcBorders>
              <w:top w:val="single" w:sz="8" w:space="0" w:color="auto"/>
              <w:bottom w:val="single" w:sz="8" w:space="0" w:color="auto"/>
            </w:tcBorders>
            <w:vAlign w:val="center"/>
          </w:tcPr>
          <w:p w14:paraId="4DF51424" w14:textId="77777777" w:rsidR="00A35521" w:rsidRPr="00DD694D" w:rsidRDefault="00A35521" w:rsidP="00B83F82">
            <w:pPr>
              <w:jc w:val="center"/>
              <w:rPr>
                <w:rFonts w:ascii="Times New Roman" w:hAnsi="Times New Roman" w:cs="Times New Roman"/>
                <w:sz w:val="18"/>
                <w:szCs w:val="18"/>
              </w:rPr>
            </w:pPr>
            <w:r w:rsidRPr="00DD694D">
              <w:rPr>
                <w:noProof/>
                <w:sz w:val="18"/>
                <w:szCs w:val="18"/>
                <w:lang w:eastAsia="en-IN"/>
              </w:rPr>
              <w:drawing>
                <wp:inline distT="0" distB="0" distL="0" distR="0" wp14:anchorId="214C9C6C" wp14:editId="13198C51">
                  <wp:extent cx="786756" cy="1097280"/>
                  <wp:effectExtent l="0" t="0" r="0" b="7620"/>
                  <wp:docPr id="290" name="Picture 276" descr="IMG_9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IMG_9239"/>
                          <pic:cNvPicPr>
                            <a:picLocks noChangeAspect="1" noChangeArrowheads="1"/>
                          </pic:cNvPicPr>
                        </pic:nvPicPr>
                        <pic:blipFill rotWithShape="1">
                          <a:blip r:embed="rId10">
                            <a:extLst>
                              <a:ext uri="{28A0092B-C50C-407E-A947-70E740481C1C}">
                                <a14:useLocalDpi xmlns:a14="http://schemas.microsoft.com/office/drawing/2010/main" val="0"/>
                              </a:ext>
                            </a:extLst>
                          </a:blip>
                          <a:srcRect t="10107" r="14213"/>
                          <a:stretch/>
                        </pic:blipFill>
                        <pic:spPr bwMode="auto">
                          <a:xfrm>
                            <a:off x="0" y="0"/>
                            <a:ext cx="786756" cy="10972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84" w:type="pct"/>
            <w:tcBorders>
              <w:top w:val="single" w:sz="8" w:space="0" w:color="auto"/>
              <w:bottom w:val="single" w:sz="8" w:space="0" w:color="auto"/>
            </w:tcBorders>
            <w:vAlign w:val="center"/>
          </w:tcPr>
          <w:p w14:paraId="4E1293ED" w14:textId="77777777" w:rsidR="00A35521" w:rsidRPr="00DD694D" w:rsidRDefault="00A35521" w:rsidP="00B83F82">
            <w:pPr>
              <w:jc w:val="center"/>
              <w:rPr>
                <w:rFonts w:ascii="Times New Roman" w:hAnsi="Times New Roman" w:cs="Times New Roman"/>
                <w:sz w:val="18"/>
                <w:szCs w:val="18"/>
              </w:rPr>
            </w:pPr>
            <w:r w:rsidRPr="00DD694D">
              <w:rPr>
                <w:noProof/>
                <w:sz w:val="18"/>
                <w:szCs w:val="18"/>
                <w:lang w:eastAsia="en-IN"/>
              </w:rPr>
              <w:drawing>
                <wp:inline distT="0" distB="0" distL="0" distR="0" wp14:anchorId="5628B1ED" wp14:editId="723EBB45">
                  <wp:extent cx="674371" cy="1097280"/>
                  <wp:effectExtent l="0" t="0" r="0" b="7620"/>
                  <wp:docPr id="291"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1">
                            <a:extLst>
                              <a:ext uri="{28A0092B-C50C-407E-A947-70E740481C1C}">
                                <a14:useLocalDpi xmlns:a14="http://schemas.microsoft.com/office/drawing/2010/main" val="0"/>
                              </a:ext>
                            </a:extLst>
                          </a:blip>
                          <a:srcRect l="39594" t="24666" r="6580" b="16364"/>
                          <a:stretch>
                            <a:fillRect/>
                          </a:stretch>
                        </pic:blipFill>
                        <pic:spPr bwMode="auto">
                          <a:xfrm>
                            <a:off x="0" y="0"/>
                            <a:ext cx="674371" cy="1097280"/>
                          </a:xfrm>
                          <a:prstGeom prst="rect">
                            <a:avLst/>
                          </a:prstGeom>
                          <a:noFill/>
                          <a:ln>
                            <a:noFill/>
                          </a:ln>
                        </pic:spPr>
                      </pic:pic>
                    </a:graphicData>
                  </a:graphic>
                </wp:inline>
              </w:drawing>
            </w:r>
          </w:p>
        </w:tc>
      </w:tr>
      <w:tr w:rsidR="00752E96" w:rsidRPr="00DD694D" w14:paraId="1F41C53B" w14:textId="77777777" w:rsidTr="00CD25F0">
        <w:trPr>
          <w:cantSplit/>
          <w:trHeight w:val="1872"/>
        </w:trPr>
        <w:tc>
          <w:tcPr>
            <w:tcW w:w="657" w:type="pct"/>
            <w:tcBorders>
              <w:top w:val="single" w:sz="8" w:space="0" w:color="auto"/>
              <w:bottom w:val="single" w:sz="8" w:space="0" w:color="auto"/>
            </w:tcBorders>
            <w:textDirection w:val="btLr"/>
            <w:vAlign w:val="center"/>
          </w:tcPr>
          <w:p w14:paraId="59C9BB91" w14:textId="77777777" w:rsidR="00A35521" w:rsidRPr="00DD694D" w:rsidRDefault="00A35521" w:rsidP="00A35521">
            <w:pPr>
              <w:ind w:right="113"/>
              <w:jc w:val="center"/>
              <w:rPr>
                <w:rFonts w:ascii="Times New Roman" w:hAnsi="Times New Roman" w:cs="Times New Roman"/>
                <w:sz w:val="18"/>
                <w:szCs w:val="18"/>
              </w:rPr>
            </w:pPr>
            <w:r w:rsidRPr="00DD694D">
              <w:rPr>
                <w:rFonts w:ascii="Times New Roman" w:hAnsi="Times New Roman" w:cs="Times New Roman"/>
                <w:sz w:val="18"/>
                <w:szCs w:val="18"/>
              </w:rPr>
              <w:t>40.2</w:t>
            </w:r>
          </w:p>
        </w:tc>
        <w:tc>
          <w:tcPr>
            <w:tcW w:w="1086" w:type="pct"/>
            <w:tcBorders>
              <w:top w:val="single" w:sz="8" w:space="0" w:color="auto"/>
              <w:bottom w:val="single" w:sz="8" w:space="0" w:color="auto"/>
            </w:tcBorders>
            <w:vAlign w:val="center"/>
          </w:tcPr>
          <w:p w14:paraId="2B2D8038" w14:textId="77777777" w:rsidR="00A35521" w:rsidRPr="00DD694D" w:rsidRDefault="00A35521" w:rsidP="00B83F82">
            <w:pPr>
              <w:jc w:val="center"/>
              <w:rPr>
                <w:rFonts w:ascii="Times New Roman" w:hAnsi="Times New Roman" w:cs="Times New Roman"/>
                <w:sz w:val="18"/>
                <w:szCs w:val="18"/>
              </w:rPr>
            </w:pPr>
            <w:r w:rsidRPr="00DD694D">
              <w:rPr>
                <w:noProof/>
                <w:color w:val="000000"/>
                <w:sz w:val="18"/>
                <w:szCs w:val="18"/>
                <w:lang w:eastAsia="en-IN"/>
              </w:rPr>
              <w:drawing>
                <wp:inline distT="0" distB="0" distL="0" distR="0" wp14:anchorId="6BA32EAA" wp14:editId="288EF564">
                  <wp:extent cx="845032" cy="1097280"/>
                  <wp:effectExtent l="0" t="0" r="0" b="7620"/>
                  <wp:docPr id="271" name="Picture 238" descr="C:\Users\gpadmaja\Desktop\Technical\PhD-Final-8-11-19\PADMAJA Lab data\Al Tube Testing\Empty Al Tube Testing on 24-6-17 at JNTUH\Pictures 24-6-17\IMG_5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C:\Users\gpadmaja\Desktop\Technical\PhD-Final-8-11-19\PADMAJA Lab data\Al Tube Testing\Empty Al Tube Testing on 24-6-17 at JNTUH\Pictures 24-6-17\IMG_5177.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42786" t="17220" r="28151" b="54442"/>
                          <a:stretch/>
                        </pic:blipFill>
                        <pic:spPr bwMode="auto">
                          <a:xfrm>
                            <a:off x="0" y="0"/>
                            <a:ext cx="845032" cy="1097280"/>
                          </a:xfrm>
                          <a:prstGeom prst="rect">
                            <a:avLst/>
                          </a:prstGeom>
                          <a:noFill/>
                          <a:ln>
                            <a:noFill/>
                          </a:ln>
                        </pic:spPr>
                      </pic:pic>
                    </a:graphicData>
                  </a:graphic>
                </wp:inline>
              </w:drawing>
            </w:r>
          </w:p>
        </w:tc>
        <w:tc>
          <w:tcPr>
            <w:tcW w:w="1086" w:type="pct"/>
            <w:tcBorders>
              <w:top w:val="single" w:sz="8" w:space="0" w:color="auto"/>
              <w:bottom w:val="single" w:sz="8" w:space="0" w:color="auto"/>
            </w:tcBorders>
            <w:vAlign w:val="center"/>
          </w:tcPr>
          <w:p w14:paraId="0B9CB652" w14:textId="77777777" w:rsidR="00A35521" w:rsidRPr="00DD694D" w:rsidRDefault="00A35521" w:rsidP="00B83F82">
            <w:pPr>
              <w:jc w:val="center"/>
              <w:rPr>
                <w:rFonts w:ascii="Times New Roman" w:hAnsi="Times New Roman" w:cs="Times New Roman"/>
                <w:sz w:val="18"/>
                <w:szCs w:val="18"/>
              </w:rPr>
            </w:pPr>
            <w:r w:rsidRPr="00DD694D">
              <w:rPr>
                <w:noProof/>
                <w:sz w:val="18"/>
                <w:szCs w:val="18"/>
                <w:lang w:eastAsia="en-IN"/>
              </w:rPr>
              <w:drawing>
                <wp:inline distT="0" distB="0" distL="0" distR="0" wp14:anchorId="79BE5E90" wp14:editId="173EB306">
                  <wp:extent cx="757187" cy="1097280"/>
                  <wp:effectExtent l="0" t="0" r="5080" b="7620"/>
                  <wp:docPr id="272"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3">
                            <a:extLst>
                              <a:ext uri="{BEBA8EAE-BF5A-486C-A8C5-ECC9F3942E4B}">
                                <a14:imgProps xmlns:a14="http://schemas.microsoft.com/office/drawing/2010/main">
                                  <a14:imgLayer r:embed="rId14">
                                    <a14:imgEffect>
                                      <a14:backgroundRemoval t="43223" b="90537" l="40000" r="85098">
                                        <a14:foregroundMark x1="41176" y1="48082" x2="41176" y2="48082"/>
                                        <a14:foregroundMark x1="47451" y1="45269" x2="47451" y2="45269"/>
                                        <a14:foregroundMark x1="61961" y1="43478" x2="61961" y2="43478"/>
                                        <a14:foregroundMark x1="85882" y1="48082" x2="85882" y2="48082"/>
                                        <a14:foregroundMark x1="85882" y1="84910" x2="85882" y2="84910"/>
                                        <a14:foregroundMark x1="65882" y1="88491" x2="65882" y2="88491"/>
                                        <a14:foregroundMark x1="64706" y1="90537" x2="64706" y2="90537"/>
                                      </a14:backgroundRemoval>
                                    </a14:imgEffect>
                                  </a14:imgLayer>
                                </a14:imgProps>
                              </a:ext>
                              <a:ext uri="{28A0092B-C50C-407E-A947-70E740481C1C}">
                                <a14:useLocalDpi xmlns:a14="http://schemas.microsoft.com/office/drawing/2010/main" val="0"/>
                              </a:ext>
                            </a:extLst>
                          </a:blip>
                          <a:srcRect l="37405" t="41486" r="9592" b="8339"/>
                          <a:stretch>
                            <a:fillRect/>
                          </a:stretch>
                        </pic:blipFill>
                        <pic:spPr bwMode="auto">
                          <a:xfrm>
                            <a:off x="0" y="0"/>
                            <a:ext cx="757187" cy="1097280"/>
                          </a:xfrm>
                          <a:prstGeom prst="rect">
                            <a:avLst/>
                          </a:prstGeom>
                          <a:noFill/>
                          <a:ln>
                            <a:noFill/>
                          </a:ln>
                        </pic:spPr>
                      </pic:pic>
                    </a:graphicData>
                  </a:graphic>
                </wp:inline>
              </w:drawing>
            </w:r>
          </w:p>
        </w:tc>
        <w:tc>
          <w:tcPr>
            <w:tcW w:w="1086" w:type="pct"/>
            <w:tcBorders>
              <w:top w:val="single" w:sz="8" w:space="0" w:color="auto"/>
              <w:bottom w:val="single" w:sz="8" w:space="0" w:color="auto"/>
            </w:tcBorders>
            <w:vAlign w:val="center"/>
          </w:tcPr>
          <w:p w14:paraId="160B1054" w14:textId="77777777" w:rsidR="00A35521" w:rsidRPr="00DD694D" w:rsidRDefault="00A35521" w:rsidP="00B83F82">
            <w:pPr>
              <w:jc w:val="center"/>
              <w:rPr>
                <w:rFonts w:ascii="Times New Roman" w:hAnsi="Times New Roman" w:cs="Times New Roman"/>
                <w:sz w:val="18"/>
                <w:szCs w:val="18"/>
              </w:rPr>
            </w:pPr>
            <w:r w:rsidRPr="00DD694D">
              <w:rPr>
                <w:noProof/>
                <w:sz w:val="18"/>
                <w:szCs w:val="18"/>
                <w:lang w:eastAsia="en-IN"/>
              </w:rPr>
              <w:drawing>
                <wp:inline distT="0" distB="0" distL="0" distR="0" wp14:anchorId="5B66B8A2" wp14:editId="0F68B8AD">
                  <wp:extent cx="831136" cy="1097280"/>
                  <wp:effectExtent l="0" t="0" r="7620" b="7620"/>
                  <wp:docPr id="292" name="Picture 278" descr="IMG_4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IMG_4636"/>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7" t="13138" b="58"/>
                          <a:stretch/>
                        </pic:blipFill>
                        <pic:spPr bwMode="auto">
                          <a:xfrm>
                            <a:off x="0" y="0"/>
                            <a:ext cx="831136" cy="10972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84" w:type="pct"/>
            <w:tcBorders>
              <w:top w:val="single" w:sz="8" w:space="0" w:color="auto"/>
              <w:bottom w:val="single" w:sz="8" w:space="0" w:color="auto"/>
            </w:tcBorders>
            <w:vAlign w:val="center"/>
          </w:tcPr>
          <w:p w14:paraId="417E2442" w14:textId="77777777" w:rsidR="00A35521" w:rsidRPr="00DD694D" w:rsidRDefault="00A35521" w:rsidP="00B83F82">
            <w:pPr>
              <w:jc w:val="center"/>
              <w:rPr>
                <w:rFonts w:ascii="Times New Roman" w:hAnsi="Times New Roman" w:cs="Times New Roman"/>
                <w:sz w:val="18"/>
                <w:szCs w:val="18"/>
              </w:rPr>
            </w:pPr>
            <w:r w:rsidRPr="00DD694D">
              <w:rPr>
                <w:noProof/>
                <w:sz w:val="18"/>
                <w:szCs w:val="18"/>
                <w:lang w:eastAsia="en-IN"/>
              </w:rPr>
              <w:drawing>
                <wp:inline distT="0" distB="0" distL="0" distR="0" wp14:anchorId="5B6115CA" wp14:editId="368DDFC4">
                  <wp:extent cx="616120" cy="1097280"/>
                  <wp:effectExtent l="0" t="0" r="0" b="7620"/>
                  <wp:docPr id="293"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6">
                            <a:extLst>
                              <a:ext uri="{28A0092B-C50C-407E-A947-70E740481C1C}">
                                <a14:useLocalDpi xmlns:a14="http://schemas.microsoft.com/office/drawing/2010/main" val="0"/>
                              </a:ext>
                            </a:extLst>
                          </a:blip>
                          <a:srcRect l="33176" t="34039" r="10269" b="13034"/>
                          <a:stretch>
                            <a:fillRect/>
                          </a:stretch>
                        </pic:blipFill>
                        <pic:spPr bwMode="auto">
                          <a:xfrm>
                            <a:off x="0" y="0"/>
                            <a:ext cx="616120" cy="1097280"/>
                          </a:xfrm>
                          <a:prstGeom prst="rect">
                            <a:avLst/>
                          </a:prstGeom>
                          <a:noFill/>
                          <a:ln>
                            <a:noFill/>
                          </a:ln>
                        </pic:spPr>
                      </pic:pic>
                    </a:graphicData>
                  </a:graphic>
                </wp:inline>
              </w:drawing>
            </w:r>
          </w:p>
        </w:tc>
      </w:tr>
    </w:tbl>
    <w:p w14:paraId="729B0F72" w14:textId="77777777" w:rsidR="00E06288" w:rsidRDefault="00E06288" w:rsidP="00CD25F0">
      <w:pPr>
        <w:ind w:firstLine="0"/>
      </w:pPr>
    </w:p>
    <w:p w14:paraId="39382653" w14:textId="6DA23205" w:rsidR="00A35521" w:rsidRDefault="00CD25F0" w:rsidP="00CD25F0">
      <w:pPr>
        <w:ind w:firstLine="0"/>
      </w:pPr>
      <w:r>
        <w:lastRenderedPageBreak/>
        <w:t>It can be noted that the enhancements from the superimposition of foam and tube strengths to the foam-filled strength vary proportional to the L/</w:t>
      </w:r>
      <w:r w:rsidR="00E06288">
        <w:t>D</w:t>
      </w:r>
      <w:r>
        <w:t xml:space="preserve"> ratio. However, the enhancements are greater for lower thickness values (about 50–55%) and lower for higher thickness values (about 15–18%), thus indicating material optimization with </w:t>
      </w:r>
      <w:r w:rsidR="00162A4F">
        <w:t>s</w:t>
      </w:r>
      <w:r>
        <w:t xml:space="preserve">ignificant composite behaviour for very thin wall tubes, </w:t>
      </w:r>
      <w:r w:rsidR="003B084F">
        <w:t xml:space="preserve">which are very prone to buckling locally. </w:t>
      </w:r>
      <w:r>
        <w:t xml:space="preserve">Additionally, the failure modes are illustrated in </w:t>
      </w:r>
      <w:r>
        <w:fldChar w:fldCharType="begin"/>
      </w:r>
      <w:r>
        <w:instrText xml:space="preserve"> REF _Ref175229041 \h </w:instrText>
      </w:r>
      <w:r>
        <w:fldChar w:fldCharType="separate"/>
      </w:r>
      <w:r w:rsidR="00706453">
        <w:rPr>
          <w:b/>
        </w:rPr>
        <w:t xml:space="preserve">Table </w:t>
      </w:r>
      <w:r w:rsidR="00706453">
        <w:rPr>
          <w:b/>
          <w:noProof/>
        </w:rPr>
        <w:t>2</w:t>
      </w:r>
      <w:r>
        <w:fldChar w:fldCharType="end"/>
      </w:r>
      <w:r>
        <w:t xml:space="preserve"> for </w:t>
      </w:r>
      <w:r w:rsidR="003B084F">
        <w:t>unfilled and foam</w:t>
      </w:r>
      <w:r w:rsidR="00707560">
        <w:t>-</w:t>
      </w:r>
      <w:r w:rsidR="003B084F">
        <w:t>filled aluminum tubes,</w:t>
      </w:r>
      <w:r>
        <w:t xml:space="preserve"> through finite element analysis (FEA) validation.</w:t>
      </w:r>
    </w:p>
    <w:p w14:paraId="7583086D" w14:textId="77777777" w:rsidR="00F5580D" w:rsidRDefault="00F5580D" w:rsidP="00CD25F0">
      <w:pPr>
        <w:ind w:firstLine="0"/>
      </w:pPr>
    </w:p>
    <w:p w14:paraId="018E5B57" w14:textId="77777777" w:rsidR="00A35521" w:rsidRDefault="00A35521" w:rsidP="00A35521">
      <w:pPr>
        <w:jc w:val="center"/>
      </w:pPr>
      <w:r w:rsidRPr="006A06AF">
        <w:rPr>
          <w:noProof/>
        </w:rPr>
        <w:drawing>
          <wp:inline distT="0" distB="0" distL="0" distR="0" wp14:anchorId="7BCE45EE" wp14:editId="335DB299">
            <wp:extent cx="2936875" cy="1828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36875" cy="1828800"/>
                    </a:xfrm>
                    <a:prstGeom prst="rect">
                      <a:avLst/>
                    </a:prstGeom>
                    <a:noFill/>
                    <a:ln>
                      <a:noFill/>
                    </a:ln>
                  </pic:spPr>
                </pic:pic>
              </a:graphicData>
            </a:graphic>
          </wp:inline>
        </w:drawing>
      </w:r>
    </w:p>
    <w:p w14:paraId="4D52C749" w14:textId="1B84AB7E" w:rsidR="00A35521" w:rsidRDefault="00752E96" w:rsidP="00752E96">
      <w:pPr>
        <w:pStyle w:val="figurecaption"/>
      </w:pPr>
      <w:bookmarkStart w:id="2" w:name="_Ref175729616"/>
      <w:bookmarkStart w:id="3" w:name="_Ref175229056"/>
      <w:r>
        <w:rPr>
          <w:b/>
        </w:rPr>
        <w:t xml:space="preserve">Fig. </w:t>
      </w:r>
      <w:r>
        <w:rPr>
          <w:b/>
        </w:rPr>
        <w:fldChar w:fldCharType="begin"/>
      </w:r>
      <w:r>
        <w:rPr>
          <w:b/>
        </w:rPr>
        <w:instrText xml:space="preserve"> SEQ "Figure" \* MERGEFORMAT </w:instrText>
      </w:r>
      <w:r>
        <w:rPr>
          <w:b/>
        </w:rPr>
        <w:fldChar w:fldCharType="separate"/>
      </w:r>
      <w:r w:rsidR="00706453">
        <w:rPr>
          <w:b/>
          <w:noProof/>
        </w:rPr>
        <w:t>1</w:t>
      </w:r>
      <w:r>
        <w:rPr>
          <w:b/>
        </w:rPr>
        <w:fldChar w:fldCharType="end"/>
      </w:r>
      <w:bookmarkEnd w:id="2"/>
      <w:r>
        <w:rPr>
          <w:b/>
        </w:rPr>
        <w:t>.</w:t>
      </w:r>
      <w:r>
        <w:t xml:space="preserve"> </w:t>
      </w:r>
      <w:r w:rsidR="00A35521" w:rsidRPr="00752E96">
        <w:t>Cut</w:t>
      </w:r>
      <w:r w:rsidR="00A35521">
        <w:t xml:space="preserve"> section of failure mode in </w:t>
      </w:r>
      <w:r w:rsidR="00707560">
        <w:t>the </w:t>
      </w:r>
      <w:r w:rsidR="00A35521">
        <w:t>specimen (</w:t>
      </w:r>
      <w:r w:rsidR="0024433A">
        <w:t>40.2 D/t and 3.32 L/D</w:t>
      </w:r>
      <w:r w:rsidR="00A35521">
        <w:t>)</w:t>
      </w:r>
      <w:bookmarkEnd w:id="3"/>
    </w:p>
    <w:p w14:paraId="1C64F867" w14:textId="308F43D2" w:rsidR="00CD25F0" w:rsidRDefault="00CD25F0" w:rsidP="00CD25F0">
      <w:pPr>
        <w:ind w:firstLine="0"/>
      </w:pPr>
      <w:r>
        <w:t xml:space="preserve">Through failure modes, it can be observed that the </w:t>
      </w:r>
      <w:proofErr w:type="spellStart"/>
      <w:r>
        <w:t>infillment</w:t>
      </w:r>
      <w:proofErr w:type="spellEnd"/>
      <w:r>
        <w:t xml:space="preserve"> of high-density PU foam resists the local buckling, reducing the number of folds and its depth, </w:t>
      </w:r>
      <w:r w:rsidR="00707560">
        <w:t>and </w:t>
      </w:r>
      <w:r>
        <w:t>helping to improve the compressive resistance of the tube. This resistance is achieved due to the triaxial confinement and the rearrangement of the cell structure under loading, resembling a space frame</w:t>
      </w:r>
      <w:r w:rsidR="00CD36A8">
        <w:t xml:space="preserve">, as shown through </w:t>
      </w:r>
      <w:r w:rsidR="00707560">
        <w:t>the </w:t>
      </w:r>
      <w:r w:rsidR="00CD36A8">
        <w:t xml:space="preserve">cut section in </w:t>
      </w:r>
      <w:r w:rsidR="00CD36A8">
        <w:fldChar w:fldCharType="begin"/>
      </w:r>
      <w:r w:rsidR="00CD36A8">
        <w:instrText xml:space="preserve"> REF _Ref175729616 \h </w:instrText>
      </w:r>
      <w:r w:rsidR="00CD36A8">
        <w:fldChar w:fldCharType="separate"/>
      </w:r>
      <w:r w:rsidR="00706453">
        <w:rPr>
          <w:b/>
        </w:rPr>
        <w:t xml:space="preserve">Fig. </w:t>
      </w:r>
      <w:r w:rsidR="00706453">
        <w:rPr>
          <w:b/>
          <w:noProof/>
        </w:rPr>
        <w:t>1</w:t>
      </w:r>
      <w:r w:rsidR="00CD36A8">
        <w:fldChar w:fldCharType="end"/>
      </w:r>
      <w:r>
        <w:t xml:space="preserve">. </w:t>
      </w:r>
    </w:p>
    <w:p w14:paraId="7BB41B93" w14:textId="0D29EC90" w:rsidR="00A35521" w:rsidRDefault="00A35521" w:rsidP="00CD25F0">
      <w:r>
        <w:t>Despite the enhancements in compressive resistance using sustainable infill high-density PU foam, there are no standard guidelines for designing high-density PU foam-filled aluminum circular tubes. Hence, the study continues to check the compatibility of previous CFST equivalent models that predict the compressive strength of this kind of structural element.</w:t>
      </w:r>
    </w:p>
    <w:p w14:paraId="682E5F65" w14:textId="77777777" w:rsidR="00085E06" w:rsidRDefault="00085E06" w:rsidP="00085E06">
      <w:pPr>
        <w:pStyle w:val="heading1"/>
      </w:pPr>
      <w:r>
        <w:t>Analytical Models</w:t>
      </w:r>
    </w:p>
    <w:p w14:paraId="560E903D" w14:textId="551D5193" w:rsidR="00085E06" w:rsidRDefault="00085E06" w:rsidP="00085E06">
      <w:pPr>
        <w:pStyle w:val="p1a"/>
      </w:pPr>
      <w:r w:rsidRPr="00085E06">
        <w:t xml:space="preserve">The quasi-static </w:t>
      </w:r>
      <w:r w:rsidR="0068432E">
        <w:t xml:space="preserve">axial </w:t>
      </w:r>
      <w:r w:rsidRPr="00085E06">
        <w:t xml:space="preserve">compression results (refer to Table 1) for empty and high-density Pu foam-filled </w:t>
      </w:r>
      <w:r w:rsidR="00CF7B81" w:rsidRPr="00085E06">
        <w:t>aluminum</w:t>
      </w:r>
      <w:r w:rsidRPr="00085E06">
        <w:t xml:space="preserve"> circular tubes from the above experimental investigations have been compared with analytical models from the p</w:t>
      </w:r>
      <w:r w:rsidR="00CF7B81">
        <w:t>resent</w:t>
      </w:r>
      <w:r w:rsidRPr="00085E06">
        <w:t xml:space="preserve"> literature and international standards, </w:t>
      </w:r>
      <w:r w:rsidR="00CF7B81" w:rsidRPr="00085E06">
        <w:t>utilizing</w:t>
      </w:r>
      <w:r w:rsidRPr="00085E06">
        <w:t xml:space="preserve"> the same material and geometric </w:t>
      </w:r>
      <w:r w:rsidR="00F66F8C" w:rsidRPr="00085E06">
        <w:t>properties</w:t>
      </w:r>
      <w:r w:rsidR="00F66F8C">
        <w:t>, as</w:t>
      </w:r>
      <w:r w:rsidR="00EE5E2F">
        <w:t xml:space="preserve"> </w:t>
      </w:r>
      <w:r w:rsidR="0024433A">
        <w:t>indicated by</w:t>
      </w:r>
      <w:r w:rsidR="00EE5E2F" w:rsidRPr="00EE5E2F">
        <w:t xml:space="preserve"> </w:t>
      </w:r>
      <w:r w:rsidR="00EE5E2F" w:rsidRPr="00EE5E2F">
        <w:rPr>
          <w:b/>
        </w:rPr>
        <w:fldChar w:fldCharType="begin"/>
      </w:r>
      <w:r w:rsidR="00EE5E2F" w:rsidRPr="00EE5E2F">
        <w:rPr>
          <w:b/>
        </w:rPr>
        <w:instrText xml:space="preserve"> REF _Ref175235690 \h  \* MERGEFORMAT </w:instrText>
      </w:r>
      <w:r w:rsidR="00EE5E2F" w:rsidRPr="00EE5E2F">
        <w:rPr>
          <w:b/>
        </w:rPr>
      </w:r>
      <w:r w:rsidR="00EE5E2F" w:rsidRPr="00EE5E2F">
        <w:rPr>
          <w:b/>
        </w:rPr>
        <w:fldChar w:fldCharType="separate"/>
      </w:r>
      <w:r w:rsidR="00706453">
        <w:rPr>
          <w:b/>
        </w:rPr>
        <w:t xml:space="preserve">Table </w:t>
      </w:r>
      <w:r w:rsidR="00706453">
        <w:rPr>
          <w:b/>
          <w:noProof/>
        </w:rPr>
        <w:t>3</w:t>
      </w:r>
      <w:r w:rsidR="00EE5E2F" w:rsidRPr="00EE5E2F">
        <w:rPr>
          <w:b/>
        </w:rPr>
        <w:fldChar w:fldCharType="end"/>
      </w:r>
      <w:r w:rsidR="00EE5E2F">
        <w:t xml:space="preserve"> and </w:t>
      </w:r>
      <w:r w:rsidR="00EE5E2F">
        <w:fldChar w:fldCharType="begin"/>
      </w:r>
      <w:r w:rsidR="00EE5E2F">
        <w:instrText xml:space="preserve"> REF _Ref175235730 \h </w:instrText>
      </w:r>
      <w:r w:rsidR="00EE5E2F">
        <w:fldChar w:fldCharType="separate"/>
      </w:r>
      <w:r w:rsidR="00706453">
        <w:rPr>
          <w:b/>
        </w:rPr>
        <w:t xml:space="preserve">Table </w:t>
      </w:r>
      <w:r w:rsidR="00706453">
        <w:rPr>
          <w:b/>
          <w:noProof/>
        </w:rPr>
        <w:t>4</w:t>
      </w:r>
      <w:r w:rsidR="00EE5E2F">
        <w:fldChar w:fldCharType="end"/>
      </w:r>
      <w:r w:rsidR="00EE5E2F">
        <w:t>, respectively</w:t>
      </w:r>
      <w:r w:rsidRPr="00085E06">
        <w:t>.</w:t>
      </w:r>
    </w:p>
    <w:p w14:paraId="458BB20E" w14:textId="1B3A8FF7" w:rsidR="00F5580D" w:rsidRDefault="00F5580D" w:rsidP="00F5580D"/>
    <w:p w14:paraId="30B1B825" w14:textId="41C03C5A" w:rsidR="00F5580D" w:rsidRDefault="00F5580D" w:rsidP="00F5580D"/>
    <w:p w14:paraId="06D8119B" w14:textId="77777777" w:rsidR="00F5580D" w:rsidRPr="00F5580D" w:rsidRDefault="00F5580D" w:rsidP="00F5580D"/>
    <w:p w14:paraId="07C0593E" w14:textId="6F8C7131" w:rsidR="00EE5E2F" w:rsidRPr="00DB4C76" w:rsidRDefault="00EE5E2F" w:rsidP="00EE5E2F">
      <w:pPr>
        <w:pStyle w:val="tablecaption"/>
      </w:pPr>
      <w:bookmarkStart w:id="4" w:name="_Ref175235690"/>
      <w:r>
        <w:rPr>
          <w:b/>
        </w:rPr>
        <w:lastRenderedPageBreak/>
        <w:t xml:space="preserve">Table </w:t>
      </w:r>
      <w:r>
        <w:rPr>
          <w:b/>
        </w:rPr>
        <w:fldChar w:fldCharType="begin"/>
      </w:r>
      <w:r>
        <w:rPr>
          <w:b/>
        </w:rPr>
        <w:instrText xml:space="preserve"> SEQ "Table" \* MERGEFORMAT </w:instrText>
      </w:r>
      <w:r>
        <w:rPr>
          <w:b/>
        </w:rPr>
        <w:fldChar w:fldCharType="separate"/>
      </w:r>
      <w:r w:rsidR="00706453">
        <w:rPr>
          <w:b/>
          <w:noProof/>
        </w:rPr>
        <w:t>3</w:t>
      </w:r>
      <w:r>
        <w:rPr>
          <w:b/>
        </w:rPr>
        <w:fldChar w:fldCharType="end"/>
      </w:r>
      <w:bookmarkEnd w:id="4"/>
      <w:r>
        <w:rPr>
          <w:b/>
        </w:rPr>
        <w:t>.</w:t>
      </w:r>
      <w:r>
        <w:t xml:space="preserve"> </w:t>
      </w:r>
      <w:r w:rsidRPr="00EE5E2F">
        <w:t>Material</w:t>
      </w:r>
      <w:r w:rsidRPr="00DB4C76">
        <w:t xml:space="preserve"> </w:t>
      </w:r>
      <w:r w:rsidR="00AE42E8">
        <w:t>p</w:t>
      </w:r>
      <w:r w:rsidRPr="00DB4C76">
        <w:t>roperties</w:t>
      </w:r>
      <w:r>
        <w:t xml:space="preserve"> [6]</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824"/>
        <w:gridCol w:w="898"/>
        <w:gridCol w:w="898"/>
        <w:gridCol w:w="1010"/>
        <w:gridCol w:w="945"/>
        <w:gridCol w:w="1072"/>
      </w:tblGrid>
      <w:tr w:rsidR="00EE5E2F" w:rsidRPr="00F85B7C" w14:paraId="317FC54D" w14:textId="77777777" w:rsidTr="00EE5E2F">
        <w:trPr>
          <w:jc w:val="center"/>
        </w:trPr>
        <w:tc>
          <w:tcPr>
            <w:tcW w:w="918" w:type="pct"/>
            <w:tcBorders>
              <w:top w:val="single" w:sz="12" w:space="0" w:color="auto"/>
              <w:bottom w:val="single" w:sz="4" w:space="0" w:color="auto"/>
            </w:tcBorders>
            <w:vAlign w:val="center"/>
          </w:tcPr>
          <w:p w14:paraId="792C5445"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Material</w:t>
            </w:r>
          </w:p>
        </w:tc>
        <w:tc>
          <w:tcPr>
            <w:tcW w:w="595" w:type="pct"/>
            <w:tcBorders>
              <w:top w:val="single" w:sz="12" w:space="0" w:color="auto"/>
              <w:bottom w:val="single" w:sz="4" w:space="0" w:color="auto"/>
            </w:tcBorders>
            <w:vAlign w:val="center"/>
          </w:tcPr>
          <w:p w14:paraId="34A9D679"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Density</w:t>
            </w:r>
          </w:p>
        </w:tc>
        <w:tc>
          <w:tcPr>
            <w:tcW w:w="649" w:type="pct"/>
            <w:tcBorders>
              <w:top w:val="single" w:sz="12" w:space="0" w:color="auto"/>
              <w:bottom w:val="single" w:sz="4" w:space="0" w:color="auto"/>
            </w:tcBorders>
            <w:vAlign w:val="center"/>
          </w:tcPr>
          <w:p w14:paraId="7295C016"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Yield Strength</w:t>
            </w:r>
          </w:p>
        </w:tc>
        <w:tc>
          <w:tcPr>
            <w:tcW w:w="649" w:type="pct"/>
            <w:tcBorders>
              <w:top w:val="single" w:sz="12" w:space="0" w:color="auto"/>
              <w:bottom w:val="single" w:sz="4" w:space="0" w:color="auto"/>
            </w:tcBorders>
            <w:vAlign w:val="center"/>
          </w:tcPr>
          <w:p w14:paraId="75F70DEA"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Ultimate Strength</w:t>
            </w:r>
          </w:p>
        </w:tc>
        <w:tc>
          <w:tcPr>
            <w:tcW w:w="730" w:type="pct"/>
            <w:tcBorders>
              <w:top w:val="single" w:sz="12" w:space="0" w:color="auto"/>
              <w:bottom w:val="single" w:sz="4" w:space="0" w:color="auto"/>
            </w:tcBorders>
            <w:vAlign w:val="center"/>
          </w:tcPr>
          <w:p w14:paraId="21DDC903"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Elasticity Modulus</w:t>
            </w:r>
          </w:p>
        </w:tc>
        <w:tc>
          <w:tcPr>
            <w:tcW w:w="683" w:type="pct"/>
            <w:tcBorders>
              <w:top w:val="single" w:sz="12" w:space="0" w:color="auto"/>
              <w:bottom w:val="single" w:sz="4" w:space="0" w:color="auto"/>
            </w:tcBorders>
            <w:vAlign w:val="center"/>
          </w:tcPr>
          <w:p w14:paraId="54754D6F"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Poisson’s ratio</w:t>
            </w:r>
          </w:p>
        </w:tc>
        <w:tc>
          <w:tcPr>
            <w:tcW w:w="775" w:type="pct"/>
            <w:tcBorders>
              <w:top w:val="single" w:sz="12" w:space="0" w:color="auto"/>
              <w:bottom w:val="single" w:sz="4" w:space="0" w:color="auto"/>
            </w:tcBorders>
            <w:vAlign w:val="center"/>
          </w:tcPr>
          <w:p w14:paraId="332870E5"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Elongation</w:t>
            </w:r>
          </w:p>
        </w:tc>
      </w:tr>
      <w:tr w:rsidR="00EE5E2F" w:rsidRPr="00F85B7C" w14:paraId="74D0D2F4" w14:textId="77777777" w:rsidTr="00EE5E2F">
        <w:trPr>
          <w:jc w:val="center"/>
        </w:trPr>
        <w:tc>
          <w:tcPr>
            <w:tcW w:w="918" w:type="pct"/>
            <w:tcBorders>
              <w:top w:val="single" w:sz="4" w:space="0" w:color="auto"/>
              <w:bottom w:val="single" w:sz="4" w:space="0" w:color="auto"/>
            </w:tcBorders>
            <w:vAlign w:val="center"/>
          </w:tcPr>
          <w:p w14:paraId="0DC0F916" w14:textId="77777777" w:rsidR="00EE5E2F" w:rsidRPr="00F85B7C" w:rsidRDefault="00EE5E2F" w:rsidP="00B83F82">
            <w:pPr>
              <w:pStyle w:val="table"/>
              <w:jc w:val="center"/>
              <w:rPr>
                <w:rFonts w:ascii="Times New Roman" w:hAnsi="Times New Roman" w:cs="Times New Roman"/>
                <w:sz w:val="18"/>
                <w:szCs w:val="18"/>
              </w:rPr>
            </w:pPr>
          </w:p>
        </w:tc>
        <w:tc>
          <w:tcPr>
            <w:tcW w:w="595" w:type="pct"/>
            <w:tcBorders>
              <w:top w:val="single" w:sz="4" w:space="0" w:color="auto"/>
              <w:bottom w:val="single" w:sz="4" w:space="0" w:color="auto"/>
            </w:tcBorders>
            <w:vAlign w:val="center"/>
          </w:tcPr>
          <w:p w14:paraId="3F2079DD"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(kg/m</w:t>
            </w:r>
            <w:r w:rsidRPr="00F85B7C">
              <w:rPr>
                <w:rFonts w:ascii="Times New Roman" w:hAnsi="Times New Roman" w:cs="Times New Roman"/>
                <w:sz w:val="18"/>
                <w:szCs w:val="18"/>
                <w:vertAlign w:val="superscript"/>
              </w:rPr>
              <w:t>3</w:t>
            </w:r>
            <w:r w:rsidRPr="00F85B7C">
              <w:rPr>
                <w:rFonts w:ascii="Times New Roman" w:hAnsi="Times New Roman" w:cs="Times New Roman"/>
                <w:sz w:val="18"/>
                <w:szCs w:val="18"/>
              </w:rPr>
              <w:t>)</w:t>
            </w:r>
          </w:p>
        </w:tc>
        <w:tc>
          <w:tcPr>
            <w:tcW w:w="649" w:type="pct"/>
            <w:tcBorders>
              <w:top w:val="single" w:sz="4" w:space="0" w:color="auto"/>
              <w:bottom w:val="single" w:sz="4" w:space="0" w:color="auto"/>
            </w:tcBorders>
            <w:vAlign w:val="center"/>
          </w:tcPr>
          <w:p w14:paraId="5BEFE7F4"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649" w:type="pct"/>
            <w:tcBorders>
              <w:top w:val="single" w:sz="4" w:space="0" w:color="auto"/>
              <w:bottom w:val="single" w:sz="4" w:space="0" w:color="auto"/>
            </w:tcBorders>
            <w:vAlign w:val="center"/>
          </w:tcPr>
          <w:p w14:paraId="1DA25F39"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730" w:type="pct"/>
            <w:tcBorders>
              <w:top w:val="single" w:sz="4" w:space="0" w:color="auto"/>
              <w:bottom w:val="single" w:sz="4" w:space="0" w:color="auto"/>
            </w:tcBorders>
            <w:vAlign w:val="center"/>
          </w:tcPr>
          <w:p w14:paraId="792BD08A"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683" w:type="pct"/>
            <w:tcBorders>
              <w:top w:val="single" w:sz="4" w:space="0" w:color="auto"/>
              <w:bottom w:val="single" w:sz="4" w:space="0" w:color="auto"/>
            </w:tcBorders>
            <w:vAlign w:val="center"/>
          </w:tcPr>
          <w:p w14:paraId="20EC3F3D" w14:textId="77777777" w:rsidR="00EE5E2F" w:rsidRPr="00F85B7C" w:rsidRDefault="00EE5E2F" w:rsidP="00B83F82">
            <w:pPr>
              <w:pStyle w:val="table"/>
              <w:jc w:val="center"/>
              <w:rPr>
                <w:rFonts w:ascii="Times New Roman" w:hAnsi="Times New Roman" w:cs="Times New Roman"/>
                <w:sz w:val="18"/>
                <w:szCs w:val="18"/>
              </w:rPr>
            </w:pPr>
          </w:p>
        </w:tc>
        <w:tc>
          <w:tcPr>
            <w:tcW w:w="775" w:type="pct"/>
            <w:tcBorders>
              <w:top w:val="single" w:sz="4" w:space="0" w:color="auto"/>
              <w:bottom w:val="single" w:sz="4" w:space="0" w:color="auto"/>
            </w:tcBorders>
            <w:vAlign w:val="center"/>
          </w:tcPr>
          <w:p w14:paraId="2242B970"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w:t>
            </w:r>
          </w:p>
        </w:tc>
      </w:tr>
      <w:tr w:rsidR="00EE5E2F" w:rsidRPr="00F85B7C" w14:paraId="12698706" w14:textId="77777777" w:rsidTr="00EE5E2F">
        <w:trPr>
          <w:jc w:val="center"/>
        </w:trPr>
        <w:tc>
          <w:tcPr>
            <w:tcW w:w="918" w:type="pct"/>
            <w:tcBorders>
              <w:top w:val="single" w:sz="4" w:space="0" w:color="auto"/>
            </w:tcBorders>
            <w:vAlign w:val="center"/>
          </w:tcPr>
          <w:p w14:paraId="0A39CF9B"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Aluminium</w:t>
            </w:r>
          </w:p>
        </w:tc>
        <w:tc>
          <w:tcPr>
            <w:tcW w:w="595" w:type="pct"/>
            <w:tcBorders>
              <w:top w:val="single" w:sz="4" w:space="0" w:color="auto"/>
            </w:tcBorders>
            <w:vAlign w:val="center"/>
          </w:tcPr>
          <w:p w14:paraId="66DE359D"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2700</w:t>
            </w:r>
          </w:p>
        </w:tc>
        <w:tc>
          <w:tcPr>
            <w:tcW w:w="649" w:type="pct"/>
            <w:tcBorders>
              <w:top w:val="single" w:sz="4" w:space="0" w:color="auto"/>
            </w:tcBorders>
            <w:vAlign w:val="center"/>
          </w:tcPr>
          <w:p w14:paraId="75BBACBC"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261.62</w:t>
            </w:r>
          </w:p>
        </w:tc>
        <w:tc>
          <w:tcPr>
            <w:tcW w:w="649" w:type="pct"/>
            <w:tcBorders>
              <w:top w:val="single" w:sz="4" w:space="0" w:color="auto"/>
            </w:tcBorders>
            <w:vAlign w:val="center"/>
          </w:tcPr>
          <w:p w14:paraId="3BDEAD4C"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274.55</w:t>
            </w:r>
          </w:p>
        </w:tc>
        <w:tc>
          <w:tcPr>
            <w:tcW w:w="730" w:type="pct"/>
            <w:tcBorders>
              <w:top w:val="single" w:sz="4" w:space="0" w:color="auto"/>
            </w:tcBorders>
            <w:vAlign w:val="center"/>
          </w:tcPr>
          <w:p w14:paraId="68AAFFF8"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65404</w:t>
            </w:r>
          </w:p>
        </w:tc>
        <w:tc>
          <w:tcPr>
            <w:tcW w:w="683" w:type="pct"/>
            <w:tcBorders>
              <w:top w:val="single" w:sz="4" w:space="0" w:color="auto"/>
            </w:tcBorders>
            <w:vAlign w:val="center"/>
          </w:tcPr>
          <w:p w14:paraId="032AB240"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tcBorders>
              <w:top w:val="single" w:sz="4" w:space="0" w:color="auto"/>
            </w:tcBorders>
            <w:vAlign w:val="center"/>
          </w:tcPr>
          <w:p w14:paraId="1804FCF8"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7.6</w:t>
            </w:r>
          </w:p>
        </w:tc>
      </w:tr>
      <w:tr w:rsidR="00EE5E2F" w:rsidRPr="00F85B7C" w14:paraId="07FAC218" w14:textId="77777777" w:rsidTr="00EE5E2F">
        <w:trPr>
          <w:jc w:val="center"/>
        </w:trPr>
        <w:tc>
          <w:tcPr>
            <w:tcW w:w="918" w:type="pct"/>
            <w:vAlign w:val="center"/>
          </w:tcPr>
          <w:p w14:paraId="756D9BE3"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PU Foam (T)</w:t>
            </w:r>
          </w:p>
        </w:tc>
        <w:tc>
          <w:tcPr>
            <w:tcW w:w="595" w:type="pct"/>
            <w:vAlign w:val="center"/>
          </w:tcPr>
          <w:p w14:paraId="090241D7"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150</w:t>
            </w:r>
          </w:p>
        </w:tc>
        <w:tc>
          <w:tcPr>
            <w:tcW w:w="649" w:type="pct"/>
            <w:vAlign w:val="center"/>
          </w:tcPr>
          <w:p w14:paraId="36A477A6"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1.587</w:t>
            </w:r>
          </w:p>
        </w:tc>
        <w:tc>
          <w:tcPr>
            <w:tcW w:w="649" w:type="pct"/>
            <w:vAlign w:val="center"/>
          </w:tcPr>
          <w:p w14:paraId="5E8EEB07"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1.80</w:t>
            </w:r>
          </w:p>
        </w:tc>
        <w:tc>
          <w:tcPr>
            <w:tcW w:w="730" w:type="pct"/>
            <w:vAlign w:val="center"/>
          </w:tcPr>
          <w:p w14:paraId="2BDB4F93"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158.5</w:t>
            </w:r>
          </w:p>
        </w:tc>
        <w:tc>
          <w:tcPr>
            <w:tcW w:w="683" w:type="pct"/>
            <w:vAlign w:val="center"/>
          </w:tcPr>
          <w:p w14:paraId="178880B0"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vAlign w:val="center"/>
          </w:tcPr>
          <w:p w14:paraId="6ABDA1F2"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8</w:t>
            </w:r>
          </w:p>
        </w:tc>
      </w:tr>
      <w:tr w:rsidR="00EE5E2F" w:rsidRPr="00F85B7C" w14:paraId="0E78EAE8" w14:textId="77777777" w:rsidTr="00EE5E2F">
        <w:trPr>
          <w:jc w:val="center"/>
        </w:trPr>
        <w:tc>
          <w:tcPr>
            <w:tcW w:w="918" w:type="pct"/>
            <w:tcBorders>
              <w:bottom w:val="single" w:sz="12" w:space="0" w:color="auto"/>
            </w:tcBorders>
            <w:vAlign w:val="center"/>
          </w:tcPr>
          <w:p w14:paraId="39F4CBE4"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PU Foam (C)</w:t>
            </w:r>
          </w:p>
        </w:tc>
        <w:tc>
          <w:tcPr>
            <w:tcW w:w="595" w:type="pct"/>
            <w:tcBorders>
              <w:bottom w:val="single" w:sz="12" w:space="0" w:color="auto"/>
            </w:tcBorders>
            <w:vAlign w:val="center"/>
          </w:tcPr>
          <w:p w14:paraId="7F3EB401"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150</w:t>
            </w:r>
          </w:p>
        </w:tc>
        <w:tc>
          <w:tcPr>
            <w:tcW w:w="649" w:type="pct"/>
            <w:tcBorders>
              <w:bottom w:val="single" w:sz="12" w:space="0" w:color="auto"/>
            </w:tcBorders>
            <w:vAlign w:val="center"/>
          </w:tcPr>
          <w:p w14:paraId="238C83D3" w14:textId="7F808E84"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5.2</w:t>
            </w:r>
            <w:r w:rsidR="00A7642E">
              <w:rPr>
                <w:rFonts w:ascii="Times New Roman" w:hAnsi="Times New Roman" w:cs="Times New Roman"/>
                <w:sz w:val="18"/>
                <w:szCs w:val="18"/>
              </w:rPr>
              <w:t>0</w:t>
            </w:r>
          </w:p>
        </w:tc>
        <w:tc>
          <w:tcPr>
            <w:tcW w:w="649" w:type="pct"/>
            <w:tcBorders>
              <w:bottom w:val="single" w:sz="12" w:space="0" w:color="auto"/>
            </w:tcBorders>
            <w:vAlign w:val="center"/>
          </w:tcPr>
          <w:p w14:paraId="60A9FA0F"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14.03</w:t>
            </w:r>
          </w:p>
        </w:tc>
        <w:tc>
          <w:tcPr>
            <w:tcW w:w="730" w:type="pct"/>
            <w:tcBorders>
              <w:bottom w:val="single" w:sz="12" w:space="0" w:color="auto"/>
            </w:tcBorders>
            <w:vAlign w:val="center"/>
          </w:tcPr>
          <w:p w14:paraId="73EB0B6E"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226</w:t>
            </w:r>
          </w:p>
        </w:tc>
        <w:tc>
          <w:tcPr>
            <w:tcW w:w="683" w:type="pct"/>
            <w:tcBorders>
              <w:bottom w:val="single" w:sz="12" w:space="0" w:color="auto"/>
            </w:tcBorders>
            <w:vAlign w:val="center"/>
          </w:tcPr>
          <w:p w14:paraId="1B227014"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tcBorders>
              <w:bottom w:val="single" w:sz="12" w:space="0" w:color="auto"/>
            </w:tcBorders>
            <w:vAlign w:val="center"/>
          </w:tcPr>
          <w:p w14:paraId="13325F26"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NA</w:t>
            </w:r>
          </w:p>
        </w:tc>
      </w:tr>
    </w:tbl>
    <w:p w14:paraId="4FD87F4D" w14:textId="77777777" w:rsidR="00EE5E2F" w:rsidRPr="00DD694D" w:rsidRDefault="00EE5E2F" w:rsidP="00DD694D">
      <w:r w:rsidRPr="00DD694D">
        <w:t>Note. T: Tension, C: Compression.</w:t>
      </w:r>
    </w:p>
    <w:p w14:paraId="3F988F94" w14:textId="4B1CC7AC" w:rsidR="00EE5E2F" w:rsidRPr="00DB4C76" w:rsidRDefault="00EE5E2F" w:rsidP="00EE5E2F">
      <w:pPr>
        <w:pStyle w:val="tablecaption"/>
      </w:pPr>
      <w:bookmarkStart w:id="5" w:name="_Ref175235730"/>
      <w:r>
        <w:rPr>
          <w:b/>
        </w:rPr>
        <w:t xml:space="preserve">Table </w:t>
      </w:r>
      <w:r>
        <w:rPr>
          <w:b/>
        </w:rPr>
        <w:fldChar w:fldCharType="begin"/>
      </w:r>
      <w:r>
        <w:rPr>
          <w:b/>
        </w:rPr>
        <w:instrText xml:space="preserve"> SEQ "Table" \* MERGEFORMAT </w:instrText>
      </w:r>
      <w:r>
        <w:rPr>
          <w:b/>
        </w:rPr>
        <w:fldChar w:fldCharType="separate"/>
      </w:r>
      <w:r w:rsidR="00706453">
        <w:rPr>
          <w:b/>
          <w:noProof/>
        </w:rPr>
        <w:t>4</w:t>
      </w:r>
      <w:r>
        <w:rPr>
          <w:b/>
        </w:rPr>
        <w:fldChar w:fldCharType="end"/>
      </w:r>
      <w:bookmarkEnd w:id="5"/>
      <w:r>
        <w:rPr>
          <w:b/>
        </w:rPr>
        <w:t>.</w:t>
      </w:r>
      <w:r>
        <w:t xml:space="preserve"> </w:t>
      </w:r>
      <w:bookmarkStart w:id="6" w:name="_Ref175235699"/>
      <w:r w:rsidRPr="00EE5E2F">
        <w:t>Geometric</w:t>
      </w:r>
      <w:r w:rsidRPr="00DB4C76">
        <w:t xml:space="preserve"> </w:t>
      </w:r>
      <w:r w:rsidR="00AE42E8">
        <w:t>p</w:t>
      </w:r>
      <w:r w:rsidRPr="00DB4C76">
        <w:t>roperties</w:t>
      </w:r>
      <w:r>
        <w:t xml:space="preserve"> [6]</w:t>
      </w:r>
      <w:bookmarkEnd w:id="6"/>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6"/>
        <w:gridCol w:w="1183"/>
        <w:gridCol w:w="300"/>
        <w:gridCol w:w="1705"/>
        <w:gridCol w:w="1204"/>
        <w:gridCol w:w="1200"/>
      </w:tblGrid>
      <w:tr w:rsidR="00EE5E2F" w:rsidRPr="00F85B7C" w14:paraId="48136E85" w14:textId="77777777" w:rsidTr="00EE5E2F">
        <w:tc>
          <w:tcPr>
            <w:tcW w:w="959" w:type="pct"/>
            <w:tcBorders>
              <w:top w:val="single" w:sz="12" w:space="0" w:color="auto"/>
              <w:bottom w:val="single" w:sz="4" w:space="0" w:color="auto"/>
            </w:tcBorders>
            <w:vAlign w:val="center"/>
          </w:tcPr>
          <w:p w14:paraId="5AC8FC1A"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Length</w:t>
            </w:r>
            <w:r>
              <w:rPr>
                <w:rFonts w:ascii="Times New Roman" w:hAnsi="Times New Roman" w:cs="Times New Roman"/>
                <w:sz w:val="18"/>
                <w:szCs w:val="18"/>
              </w:rPr>
              <w:t xml:space="preserve"> (L mm)</w:t>
            </w:r>
          </w:p>
        </w:tc>
        <w:tc>
          <w:tcPr>
            <w:tcW w:w="1072" w:type="pct"/>
            <w:gridSpan w:val="2"/>
            <w:tcBorders>
              <w:top w:val="single" w:sz="12" w:space="0" w:color="auto"/>
              <w:bottom w:val="single" w:sz="4" w:space="0" w:color="auto"/>
            </w:tcBorders>
            <w:vAlign w:val="center"/>
          </w:tcPr>
          <w:p w14:paraId="6B7C5B64"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Thickness</w:t>
            </w:r>
            <w:r>
              <w:rPr>
                <w:rFonts w:ascii="Times New Roman" w:hAnsi="Times New Roman" w:cs="Times New Roman"/>
                <w:sz w:val="18"/>
                <w:szCs w:val="18"/>
              </w:rPr>
              <w:t xml:space="preserve"> (t mm)</w:t>
            </w:r>
          </w:p>
        </w:tc>
        <w:tc>
          <w:tcPr>
            <w:tcW w:w="1232" w:type="pct"/>
            <w:tcBorders>
              <w:top w:val="single" w:sz="12" w:space="0" w:color="auto"/>
              <w:bottom w:val="single" w:sz="4" w:space="0" w:color="auto"/>
            </w:tcBorders>
            <w:vAlign w:val="center"/>
          </w:tcPr>
          <w:p w14:paraId="1CCB0564"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Diameter</w:t>
            </w:r>
            <w:r>
              <w:rPr>
                <w:rFonts w:ascii="Times New Roman" w:hAnsi="Times New Roman" w:cs="Times New Roman"/>
                <w:sz w:val="18"/>
                <w:szCs w:val="18"/>
              </w:rPr>
              <w:t xml:space="preserve"> (D mm)</w:t>
            </w:r>
          </w:p>
        </w:tc>
        <w:tc>
          <w:tcPr>
            <w:tcW w:w="870" w:type="pct"/>
            <w:tcBorders>
              <w:top w:val="single" w:sz="12" w:space="0" w:color="auto"/>
            </w:tcBorders>
            <w:vAlign w:val="center"/>
          </w:tcPr>
          <w:p w14:paraId="339A7CC2"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L/D</w:t>
            </w:r>
          </w:p>
        </w:tc>
        <w:tc>
          <w:tcPr>
            <w:tcW w:w="867" w:type="pct"/>
            <w:tcBorders>
              <w:top w:val="single" w:sz="12" w:space="0" w:color="auto"/>
            </w:tcBorders>
            <w:vAlign w:val="center"/>
          </w:tcPr>
          <w:p w14:paraId="48B0F77E"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D/t</w:t>
            </w:r>
          </w:p>
        </w:tc>
      </w:tr>
      <w:tr w:rsidR="00EE5E2F" w:rsidRPr="00F85B7C" w14:paraId="54E91CE5" w14:textId="77777777" w:rsidTr="00EE5E2F">
        <w:tc>
          <w:tcPr>
            <w:tcW w:w="959" w:type="pct"/>
            <w:tcBorders>
              <w:top w:val="single" w:sz="4" w:space="0" w:color="auto"/>
            </w:tcBorders>
            <w:vAlign w:val="center"/>
          </w:tcPr>
          <w:p w14:paraId="2C83C4AD"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855" w:type="pct"/>
            <w:tcBorders>
              <w:top w:val="single" w:sz="4" w:space="0" w:color="auto"/>
            </w:tcBorders>
            <w:vAlign w:val="center"/>
          </w:tcPr>
          <w:p w14:paraId="561CEAF3"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2.0</w:t>
            </w:r>
          </w:p>
        </w:tc>
        <w:tc>
          <w:tcPr>
            <w:tcW w:w="1449" w:type="pct"/>
            <w:gridSpan w:val="2"/>
            <w:tcBorders>
              <w:top w:val="single" w:sz="4" w:space="0" w:color="auto"/>
            </w:tcBorders>
            <w:vAlign w:val="center"/>
          </w:tcPr>
          <w:p w14:paraId="2E6E5EC5"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60.3</w:t>
            </w:r>
          </w:p>
        </w:tc>
        <w:tc>
          <w:tcPr>
            <w:tcW w:w="870" w:type="pct"/>
            <w:tcBorders>
              <w:top w:val="single" w:sz="4" w:space="0" w:color="auto"/>
            </w:tcBorders>
            <w:vAlign w:val="center"/>
          </w:tcPr>
          <w:p w14:paraId="5B367405"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3.32</w:t>
            </w:r>
          </w:p>
        </w:tc>
        <w:tc>
          <w:tcPr>
            <w:tcW w:w="867" w:type="pct"/>
            <w:tcBorders>
              <w:top w:val="single" w:sz="4" w:space="0" w:color="auto"/>
            </w:tcBorders>
            <w:vAlign w:val="center"/>
          </w:tcPr>
          <w:p w14:paraId="530DD675"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30.15</w:t>
            </w:r>
          </w:p>
        </w:tc>
      </w:tr>
      <w:tr w:rsidR="00EE5E2F" w:rsidRPr="00F85B7C" w14:paraId="30DC29BC" w14:textId="77777777" w:rsidTr="00EE5E2F">
        <w:tc>
          <w:tcPr>
            <w:tcW w:w="959" w:type="pct"/>
            <w:vAlign w:val="center"/>
          </w:tcPr>
          <w:p w14:paraId="0E066798"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855" w:type="pct"/>
            <w:vAlign w:val="center"/>
          </w:tcPr>
          <w:p w14:paraId="26C0E300"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1.5</w:t>
            </w:r>
          </w:p>
        </w:tc>
        <w:tc>
          <w:tcPr>
            <w:tcW w:w="1449" w:type="pct"/>
            <w:gridSpan w:val="2"/>
            <w:vAlign w:val="center"/>
          </w:tcPr>
          <w:p w14:paraId="50D133FE"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60.3</w:t>
            </w:r>
          </w:p>
        </w:tc>
        <w:tc>
          <w:tcPr>
            <w:tcW w:w="870" w:type="pct"/>
            <w:vAlign w:val="center"/>
          </w:tcPr>
          <w:p w14:paraId="04C46B92"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3.32</w:t>
            </w:r>
          </w:p>
        </w:tc>
        <w:tc>
          <w:tcPr>
            <w:tcW w:w="867" w:type="pct"/>
            <w:vAlign w:val="center"/>
          </w:tcPr>
          <w:p w14:paraId="7E5F80C6"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40.20</w:t>
            </w:r>
          </w:p>
        </w:tc>
      </w:tr>
      <w:tr w:rsidR="00EE5E2F" w:rsidRPr="00F85B7C" w14:paraId="40A73588" w14:textId="77777777" w:rsidTr="00EE5E2F">
        <w:tc>
          <w:tcPr>
            <w:tcW w:w="959" w:type="pct"/>
            <w:vAlign w:val="center"/>
          </w:tcPr>
          <w:p w14:paraId="0939EA3E" w14:textId="2D41B582"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3</w:t>
            </w:r>
            <w:r w:rsidR="00EE5E2F" w:rsidRPr="00F85B7C">
              <w:rPr>
                <w:rFonts w:ascii="Times New Roman" w:hAnsi="Times New Roman" w:cs="Times New Roman"/>
                <w:sz w:val="18"/>
                <w:szCs w:val="18"/>
              </w:rPr>
              <w:t>00</w:t>
            </w:r>
          </w:p>
        </w:tc>
        <w:tc>
          <w:tcPr>
            <w:tcW w:w="855" w:type="pct"/>
            <w:vAlign w:val="center"/>
          </w:tcPr>
          <w:p w14:paraId="0DDBF0F1" w14:textId="3E99AB22"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2.0</w:t>
            </w:r>
          </w:p>
        </w:tc>
        <w:tc>
          <w:tcPr>
            <w:tcW w:w="1449" w:type="pct"/>
            <w:gridSpan w:val="2"/>
            <w:vAlign w:val="center"/>
          </w:tcPr>
          <w:p w14:paraId="49B70BAB" w14:textId="340E0F59" w:rsidR="00EE5E2F" w:rsidRPr="00F85B7C" w:rsidRDefault="007D3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60.3</w:t>
            </w:r>
          </w:p>
        </w:tc>
        <w:tc>
          <w:tcPr>
            <w:tcW w:w="870" w:type="pct"/>
            <w:vAlign w:val="center"/>
          </w:tcPr>
          <w:p w14:paraId="0E4768DB" w14:textId="6FEC014D"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4.98</w:t>
            </w:r>
          </w:p>
        </w:tc>
        <w:tc>
          <w:tcPr>
            <w:tcW w:w="867" w:type="pct"/>
            <w:vAlign w:val="center"/>
          </w:tcPr>
          <w:p w14:paraId="648E42D8" w14:textId="7ACF84CB"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30.15</w:t>
            </w:r>
          </w:p>
        </w:tc>
      </w:tr>
      <w:tr w:rsidR="00EE5E2F" w:rsidRPr="00F85B7C" w14:paraId="18942859" w14:textId="77777777" w:rsidTr="00EE5E2F">
        <w:tc>
          <w:tcPr>
            <w:tcW w:w="959" w:type="pct"/>
            <w:tcBorders>
              <w:bottom w:val="single" w:sz="12" w:space="0" w:color="auto"/>
            </w:tcBorders>
            <w:vAlign w:val="center"/>
          </w:tcPr>
          <w:p w14:paraId="69BD6CCF" w14:textId="54A509E3"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3</w:t>
            </w:r>
            <w:r w:rsidR="00EE5E2F" w:rsidRPr="00F85B7C">
              <w:rPr>
                <w:rFonts w:ascii="Times New Roman" w:hAnsi="Times New Roman" w:cs="Times New Roman"/>
                <w:sz w:val="18"/>
                <w:szCs w:val="18"/>
              </w:rPr>
              <w:t>00</w:t>
            </w:r>
          </w:p>
        </w:tc>
        <w:tc>
          <w:tcPr>
            <w:tcW w:w="855" w:type="pct"/>
            <w:tcBorders>
              <w:bottom w:val="single" w:sz="12" w:space="0" w:color="auto"/>
            </w:tcBorders>
            <w:vAlign w:val="center"/>
          </w:tcPr>
          <w:p w14:paraId="23042934" w14:textId="4AD5862D"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w:t>
            </w:r>
            <w:r w:rsidR="007D3E2F">
              <w:rPr>
                <w:rFonts w:ascii="Times New Roman" w:hAnsi="Times New Roman" w:cs="Times New Roman"/>
                <w:sz w:val="18"/>
                <w:szCs w:val="18"/>
              </w:rPr>
              <w:t>5</w:t>
            </w:r>
          </w:p>
        </w:tc>
        <w:tc>
          <w:tcPr>
            <w:tcW w:w="1449" w:type="pct"/>
            <w:gridSpan w:val="2"/>
            <w:tcBorders>
              <w:bottom w:val="single" w:sz="12" w:space="0" w:color="auto"/>
            </w:tcBorders>
            <w:vAlign w:val="center"/>
          </w:tcPr>
          <w:p w14:paraId="71AD67DC" w14:textId="43F3ED46" w:rsidR="00EE5E2F" w:rsidRPr="00F85B7C" w:rsidRDefault="007D3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60.3</w:t>
            </w:r>
          </w:p>
        </w:tc>
        <w:tc>
          <w:tcPr>
            <w:tcW w:w="870" w:type="pct"/>
            <w:tcBorders>
              <w:bottom w:val="single" w:sz="12" w:space="0" w:color="auto"/>
            </w:tcBorders>
            <w:vAlign w:val="center"/>
          </w:tcPr>
          <w:p w14:paraId="24765710" w14:textId="56DE7AC6"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4.98</w:t>
            </w:r>
          </w:p>
        </w:tc>
        <w:tc>
          <w:tcPr>
            <w:tcW w:w="867" w:type="pct"/>
            <w:tcBorders>
              <w:bottom w:val="single" w:sz="12" w:space="0" w:color="auto"/>
            </w:tcBorders>
            <w:vAlign w:val="center"/>
          </w:tcPr>
          <w:p w14:paraId="6AF6C944" w14:textId="16FDD917" w:rsidR="00EE5E2F" w:rsidRPr="00F85B7C" w:rsidRDefault="007D3E2F"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40.20</w:t>
            </w:r>
          </w:p>
        </w:tc>
      </w:tr>
    </w:tbl>
    <w:p w14:paraId="5654098F" w14:textId="0606BCC7" w:rsidR="00085E06" w:rsidRDefault="00085E06" w:rsidP="00085E06">
      <w:pPr>
        <w:pStyle w:val="heading2"/>
      </w:pPr>
      <w:r>
        <w:t xml:space="preserve"> </w:t>
      </w:r>
      <w:r w:rsidR="00F023ED">
        <w:t xml:space="preserve">Analytical Models of </w:t>
      </w:r>
      <w:r>
        <w:t>Empty Circular Aluminum Tube</w:t>
      </w:r>
      <w:r w:rsidR="00F023ED">
        <w:t>s</w:t>
      </w:r>
    </w:p>
    <w:p w14:paraId="2A2E7809" w14:textId="7B641DBD" w:rsidR="00687796" w:rsidRPr="00706453" w:rsidRDefault="00085E06" w:rsidP="00706453">
      <w:pPr>
        <w:pStyle w:val="p1a"/>
      </w:pPr>
      <w:r w:rsidRPr="00085E06">
        <w:t xml:space="preserve">The analytical models proposed by the literature based on theoretical and experimental evaluations of hollow </w:t>
      </w:r>
      <w:r w:rsidR="0024433A">
        <w:t xml:space="preserve">circular </w:t>
      </w:r>
      <w:r w:rsidRPr="00085E06">
        <w:t>tubes</w:t>
      </w:r>
      <w:r w:rsidR="0024433A">
        <w:t xml:space="preserve"> with thin walls</w:t>
      </w:r>
      <w:r w:rsidRPr="00085E06">
        <w:t xml:space="preserve"> are presented in </w:t>
      </w:r>
      <w:r w:rsidR="00EE5E2F">
        <w:fldChar w:fldCharType="begin"/>
      </w:r>
      <w:r w:rsidR="00EE5E2F">
        <w:instrText xml:space="preserve"> REF _Ref175235802 \h </w:instrText>
      </w:r>
      <w:r w:rsidR="00EE5E2F">
        <w:fldChar w:fldCharType="separate"/>
      </w:r>
      <w:r w:rsidR="00706453">
        <w:rPr>
          <w:b/>
        </w:rPr>
        <w:t xml:space="preserve">Table </w:t>
      </w:r>
      <w:r w:rsidR="00706453">
        <w:rPr>
          <w:b/>
          <w:noProof/>
        </w:rPr>
        <w:t>5</w:t>
      </w:r>
      <w:r w:rsidR="00EE5E2F">
        <w:fldChar w:fldCharType="end"/>
      </w:r>
      <w:r w:rsidRPr="00085E06">
        <w:t xml:space="preserve">, along with a corresponding estimation of the mean compressive strength </w:t>
      </w:r>
      <w:r w:rsidR="00706453">
        <w:t>(</w:t>
      </w:r>
      <m:oMath>
        <m:sSub>
          <m:sSubPr>
            <m:ctrlPr>
              <w:rPr>
                <w:rFonts w:ascii="Cambria Math" w:eastAsiaTheme="minorHAnsi" w:hAnsi="Cambria Math"/>
                <w:color w:val="000000"/>
              </w:rPr>
            </m:ctrlPr>
          </m:sSubPr>
          <m:e>
            <m:r>
              <m:rPr>
                <m:sty m:val="p"/>
              </m:rPr>
              <w:rPr>
                <w:rFonts w:ascii="Cambria Math" w:hAnsi="Cambria Math"/>
                <w:color w:val="000000"/>
              </w:rPr>
              <m:t>P</m:t>
            </m:r>
            <m:ctrlPr>
              <w:rPr>
                <w:rFonts w:ascii="Cambria Math" w:hAnsi="Cambria Math"/>
                <w:color w:val="000000"/>
              </w:rPr>
            </m:ctrlPr>
          </m:e>
          <m:sub>
            <m:r>
              <m:rPr>
                <m:sty m:val="p"/>
              </m:rPr>
              <w:rPr>
                <w:rFonts w:ascii="Cambria Math" w:hAnsi="Cambria Math"/>
                <w:color w:val="000000"/>
              </w:rPr>
              <m:t>m</m:t>
            </m:r>
          </m:sub>
        </m:sSub>
        <m:r>
          <m:rPr>
            <m:sty m:val="p"/>
          </m:rPr>
          <w:rPr>
            <w:rFonts w:ascii="Cambria Math" w:eastAsiaTheme="minorHAnsi" w:hAnsi="Cambria Math"/>
            <w:color w:val="000000"/>
          </w:rPr>
          <m:t>)</m:t>
        </m:r>
        <m:r>
          <w:rPr>
            <w:rFonts w:ascii="Cambria Math" w:eastAsiaTheme="minorHAnsi" w:hAnsi="Cambria Math"/>
            <w:color w:val="000000"/>
            <w:sz w:val="18"/>
            <w:szCs w:val="18"/>
          </w:rPr>
          <m:t xml:space="preserve"> </m:t>
        </m:r>
      </m:oMath>
      <w:r w:rsidRPr="00085E06">
        <w:t>computed for the experimental specimen.</w:t>
      </w:r>
      <w:r w:rsidR="00706453">
        <w:t xml:space="preserve"> </w:t>
      </w:r>
      <w:r w:rsidR="00687796">
        <w:t>In the analytical models, the tube’s thickness and diameter are denoted by t and D, respectively. While M</w:t>
      </w:r>
      <w:r w:rsidR="00687796">
        <w:rPr>
          <w:vertAlign w:val="subscript"/>
        </w:rPr>
        <w:t>0</w:t>
      </w:r>
      <w:r w:rsidR="00687796">
        <w:t xml:space="preserve"> is the plastic bending moment, which can be computed using equation 1,</w:t>
      </w:r>
    </w:p>
    <w:p w14:paraId="53BFC2DE" w14:textId="087A8962" w:rsidR="00687796" w:rsidRDefault="00707560" w:rsidP="00687796">
      <w:pPr>
        <w:pStyle w:val="equation"/>
        <w:jc w:val="center"/>
      </w:pPr>
      <m:oMath>
        <m:sSub>
          <m:sSubPr>
            <m:ctrlPr>
              <w:rPr>
                <w:rFonts w:ascii="Cambria Math" w:hAnsi="Cambria Math"/>
              </w:rPr>
            </m:ctrlPr>
          </m:sSubPr>
          <m:e>
            <m:r>
              <w:rPr>
                <w:rFonts w:ascii="Cambria Math" w:hAnsi="Cambria Math"/>
              </w:rPr>
              <m:t>M</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sSup>
          <m:sSupPr>
            <m:ctrlPr>
              <w:rPr>
                <w:rFonts w:ascii="Cambria Math" w:hAnsi="Cambria Math"/>
              </w:rPr>
            </m:ctrlPr>
          </m:sSupPr>
          <m:e>
            <m:r>
              <w:rPr>
                <w:rFonts w:ascii="Cambria Math" w:hAnsi="Cambria Math"/>
              </w:rPr>
              <m:t>t</m:t>
            </m:r>
          </m:e>
          <m:sup>
            <m:r>
              <m:rPr>
                <m:sty m:val="p"/>
              </m:rPr>
              <w:rPr>
                <w:rFonts w:ascii="Cambria Math" w:hAnsi="Cambria Math"/>
              </w:rPr>
              <m:t>2</m:t>
            </m:r>
          </m:sup>
        </m:sSup>
        <m:sSub>
          <m:sSubPr>
            <m:ctrlPr>
              <w:rPr>
                <w:rFonts w:ascii="Cambria Math" w:hAnsi="Cambria Math"/>
              </w:rPr>
            </m:ctrlPr>
          </m:sSubPr>
          <m:e>
            <m:r>
              <w:rPr>
                <w:rFonts w:ascii="Cambria Math" w:hAnsi="Cambria Math"/>
              </w:rPr>
              <m:t>σ</m:t>
            </m:r>
          </m:e>
          <m:sub>
            <m:r>
              <m:rPr>
                <m:sty m:val="p"/>
              </m:rPr>
              <w:rPr>
                <w:rFonts w:ascii="Cambria Math" w:hAnsi="Cambria Math"/>
              </w:rPr>
              <m:t>0</m:t>
            </m:r>
          </m:sub>
        </m:sSub>
      </m:oMath>
      <w:r w:rsidR="00687796">
        <w:tab/>
        <w:t>(</w:t>
      </w:r>
      <w:fldSimple w:instr=" SEQ &quot;equation&quot; \n \* MERGEFORMAT ">
        <w:r w:rsidR="00706453">
          <w:rPr>
            <w:noProof/>
          </w:rPr>
          <w:t>1</w:t>
        </w:r>
      </w:fldSimple>
      <w:r w:rsidR="00687796">
        <w:t>)</w:t>
      </w:r>
    </w:p>
    <w:p w14:paraId="0B1C8C3F" w14:textId="77777777" w:rsidR="00687796" w:rsidRPr="00085E06" w:rsidRDefault="00707560" w:rsidP="00687796">
      <m:oMath>
        <m:sSub>
          <m:sSubPr>
            <m:ctrlPr>
              <w:rPr>
                <w:rFonts w:ascii="Cambria Math" w:hAnsi="Cambria Math"/>
              </w:rPr>
            </m:ctrlPr>
          </m:sSubPr>
          <m:e>
            <m:r>
              <w:rPr>
                <w:rFonts w:ascii="Cambria Math" w:hAnsi="Cambria Math"/>
              </w:rPr>
              <m:t>σ</m:t>
            </m:r>
          </m:e>
          <m:sub>
            <m:r>
              <w:rPr>
                <w:rFonts w:ascii="Cambria Math" w:hAnsi="Cambria Math"/>
              </w:rPr>
              <m:t>0</m:t>
            </m:r>
          </m:sub>
        </m:sSub>
      </m:oMath>
      <w:r w:rsidR="00687796" w:rsidRPr="00085E06">
        <w:t xml:space="preserve"> </w:t>
      </w:r>
      <w:r w:rsidR="00687796">
        <w:t>stands for</w:t>
      </w:r>
      <w:r w:rsidR="00687796" w:rsidRPr="00085E06">
        <w:t xml:space="preserve"> flow stress</w:t>
      </w:r>
      <w:r w:rsidR="00687796">
        <w:t xml:space="preserve"> in Eq. 2,</w:t>
      </w:r>
      <w:r w:rsidR="00687796" w:rsidRPr="00085E06">
        <w:t xml:space="preserve"> </w:t>
      </w:r>
      <w:r w:rsidR="00687796">
        <w:t xml:space="preserve">the average of </w:t>
      </w:r>
      <w:r w:rsidR="00687796" w:rsidRPr="00085E06">
        <w:t>yield stress (</w:t>
      </w:r>
      <m:oMath>
        <m:sSub>
          <m:sSubPr>
            <m:ctrlPr>
              <w:rPr>
                <w:rFonts w:ascii="Cambria Math" w:hAnsi="Cambria Math"/>
              </w:rPr>
            </m:ctrlPr>
          </m:sSubPr>
          <m:e>
            <m:r>
              <w:rPr>
                <w:rFonts w:ascii="Cambria Math" w:hAnsi="Cambria Math"/>
              </w:rPr>
              <m:t>σ</m:t>
            </m:r>
          </m:e>
          <m:sub>
            <m:r>
              <w:rPr>
                <w:rFonts w:ascii="Cambria Math" w:hAnsi="Cambria Math"/>
              </w:rPr>
              <m:t>y</m:t>
            </m:r>
          </m:sub>
        </m:sSub>
        <m:r>
          <w:rPr>
            <w:rFonts w:ascii="Cambria Math" w:hAnsi="Cambria Math"/>
          </w:rPr>
          <m:t>)</m:t>
        </m:r>
      </m:oMath>
      <w:r w:rsidR="00687796" w:rsidRPr="00085E06">
        <w:t xml:space="preserve"> and ultimate tensile strength (</w:t>
      </w:r>
      <m:oMath>
        <m:sSub>
          <m:sSubPr>
            <m:ctrlPr>
              <w:rPr>
                <w:rFonts w:ascii="Cambria Math" w:hAnsi="Cambria Math"/>
              </w:rPr>
            </m:ctrlPr>
          </m:sSubPr>
          <m:e>
            <m:r>
              <w:rPr>
                <w:rFonts w:ascii="Cambria Math" w:hAnsi="Cambria Math"/>
              </w:rPr>
              <m:t>σ</m:t>
            </m:r>
          </m:e>
          <m:sub>
            <m:r>
              <w:rPr>
                <w:rFonts w:ascii="Cambria Math" w:hAnsi="Cambria Math"/>
              </w:rPr>
              <m:t>u</m:t>
            </m:r>
          </m:sub>
        </m:sSub>
        <m:r>
          <w:rPr>
            <w:rFonts w:ascii="Cambria Math" w:hAnsi="Cambria Math"/>
          </w:rPr>
          <m:t>)</m:t>
        </m:r>
      </m:oMath>
      <w:r w:rsidR="00687796" w:rsidRPr="00085E06">
        <w:t xml:space="preserve">.  </w:t>
      </w:r>
    </w:p>
    <w:p w14:paraId="613CFA37" w14:textId="59B38896" w:rsidR="00687796" w:rsidRPr="0099117B" w:rsidRDefault="00707560" w:rsidP="00687796">
      <w:pPr>
        <w:pStyle w:val="equation"/>
        <w:jc w:val="center"/>
      </w:pPr>
      <m:oMath>
        <m:sSub>
          <m:sSubPr>
            <m:ctrlPr>
              <w:rPr>
                <w:rFonts w:ascii="Cambria Math" w:hAnsi="Cambria Math"/>
              </w:rPr>
            </m:ctrlPr>
          </m:sSubPr>
          <m:e>
            <m:r>
              <w:rPr>
                <w:rFonts w:ascii="Cambria Math" w:hAnsi="Cambria Math"/>
              </w:rPr>
              <m:t>σ</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u</m:t>
                </m:r>
              </m:sub>
            </m:sSub>
          </m:num>
          <m:den>
            <m:r>
              <m:rPr>
                <m:sty m:val="p"/>
              </m:rPr>
              <w:rPr>
                <w:rFonts w:ascii="Cambria Math" w:hAnsi="Cambria Math"/>
              </w:rPr>
              <m:t>2</m:t>
            </m:r>
          </m:den>
        </m:f>
        <m:r>
          <m:rPr>
            <m:sty m:val="p"/>
          </m:rPr>
          <w:rPr>
            <w:rFonts w:ascii="Cambria Math" w:hAnsi="Cambria Math"/>
          </w:rPr>
          <m:t xml:space="preserve"> </m:t>
        </m:r>
      </m:oMath>
      <w:r w:rsidR="00687796">
        <w:tab/>
        <w:t>(</w:t>
      </w:r>
      <w:fldSimple w:instr=" SEQ &quot;equation&quot; \n \* MERGEFORMAT ">
        <w:r w:rsidR="00706453">
          <w:rPr>
            <w:noProof/>
          </w:rPr>
          <w:t>2</w:t>
        </w:r>
      </w:fldSimple>
      <w:r w:rsidR="00687796">
        <w:t>)</w:t>
      </w:r>
    </w:p>
    <w:p w14:paraId="32FC10C8" w14:textId="77777777" w:rsidR="00687796" w:rsidRPr="00687796" w:rsidRDefault="00687796" w:rsidP="00687796"/>
    <w:p w14:paraId="07FBE1E7" w14:textId="593000D2" w:rsidR="00535D34" w:rsidRDefault="00535D34" w:rsidP="00687796">
      <w:r w:rsidRPr="00EE5E2F">
        <w:t xml:space="preserve">Upon all the analytical models, the </w:t>
      </w:r>
      <w:proofErr w:type="spellStart"/>
      <w:r w:rsidRPr="00EE5E2F">
        <w:t>Abramovicz</w:t>
      </w:r>
      <w:proofErr w:type="spellEnd"/>
      <w:r w:rsidRPr="00EE5E2F">
        <w:t xml:space="preserve"> &amp; Jones Model [</w:t>
      </w:r>
      <w:r>
        <w:t>8</w:t>
      </w:r>
      <w:r w:rsidRPr="00EE5E2F">
        <w:t>] aligns with experimental results. For specimens with D/t &lt; 40, the analytical model overestimates with a variation of up to 9% and underestimates up to 7% for specimens with D/t &gt; 40</w:t>
      </w:r>
      <w:r w:rsidRPr="00535D34">
        <w:t xml:space="preserve"> </w:t>
      </w:r>
      <w:r w:rsidRPr="00EE5E2F">
        <w:t>However, all the models ignore the effect of L/</w:t>
      </w:r>
      <w:r>
        <w:t>D</w:t>
      </w:r>
      <w:r w:rsidRPr="00EE5E2F">
        <w:t xml:space="preserve"> ratios and utilize the flexural capacity in between the elastic and plastic states, corresponding to the elastoplastic state.</w:t>
      </w:r>
    </w:p>
    <w:p w14:paraId="219C5C2C" w14:textId="77777777" w:rsidR="00706453" w:rsidRPr="00687796" w:rsidRDefault="00706453" w:rsidP="00687796"/>
    <w:p w14:paraId="5ECC9D75" w14:textId="00E02150" w:rsidR="00085E06" w:rsidRPr="001420A7" w:rsidRDefault="00EE5E2F" w:rsidP="00EE5E2F">
      <w:pPr>
        <w:pStyle w:val="tablecaption"/>
      </w:pPr>
      <w:bookmarkStart w:id="7" w:name="_Ref175235802"/>
      <w:bookmarkStart w:id="8" w:name="_Toc79503234"/>
      <w:r>
        <w:rPr>
          <w:b/>
        </w:rPr>
        <w:lastRenderedPageBreak/>
        <w:t xml:space="preserve">Table </w:t>
      </w:r>
      <w:r>
        <w:rPr>
          <w:b/>
        </w:rPr>
        <w:fldChar w:fldCharType="begin"/>
      </w:r>
      <w:r>
        <w:rPr>
          <w:b/>
        </w:rPr>
        <w:instrText xml:space="preserve"> SEQ "Table" \* MERGEFORMAT </w:instrText>
      </w:r>
      <w:r>
        <w:rPr>
          <w:b/>
        </w:rPr>
        <w:fldChar w:fldCharType="separate"/>
      </w:r>
      <w:r w:rsidR="00706453">
        <w:rPr>
          <w:b/>
          <w:noProof/>
        </w:rPr>
        <w:t>5</w:t>
      </w:r>
      <w:r>
        <w:rPr>
          <w:b/>
        </w:rPr>
        <w:fldChar w:fldCharType="end"/>
      </w:r>
      <w:bookmarkEnd w:id="7"/>
      <w:r>
        <w:rPr>
          <w:b/>
        </w:rPr>
        <w:t>.</w:t>
      </w:r>
      <w:r>
        <w:t xml:space="preserve"> </w:t>
      </w:r>
      <w:r w:rsidR="00085E06" w:rsidRPr="00EE5E2F">
        <w:t>Mean</w:t>
      </w:r>
      <w:r w:rsidR="00085E06" w:rsidRPr="001420A7">
        <w:t xml:space="preserve"> C</w:t>
      </w:r>
      <w:r w:rsidR="00085E06">
        <w:t>ompressive</w:t>
      </w:r>
      <w:r w:rsidR="00085E06" w:rsidRPr="001420A7">
        <w:t xml:space="preserve"> </w:t>
      </w:r>
      <w:r w:rsidR="0024433A">
        <w:t>Strength</w:t>
      </w:r>
      <w:r w:rsidR="00085E06" w:rsidRPr="001420A7">
        <w:t xml:space="preserve"> of Empty Circular Aluminum Tubes</w:t>
      </w:r>
      <w:bookmarkEnd w:id="8"/>
    </w:p>
    <w:tbl>
      <w:tblPr>
        <w:tblW w:w="5000" w:type="pct"/>
        <w:jc w:val="center"/>
        <w:tblLook w:val="04A0" w:firstRow="1" w:lastRow="0" w:firstColumn="1" w:lastColumn="0" w:noHBand="0" w:noVBand="1"/>
      </w:tblPr>
      <w:tblGrid>
        <w:gridCol w:w="2069"/>
        <w:gridCol w:w="2160"/>
        <w:gridCol w:w="1290"/>
        <w:gridCol w:w="1399"/>
      </w:tblGrid>
      <w:tr w:rsidR="00085E06" w:rsidRPr="00085E06" w14:paraId="6BC8A080" w14:textId="77777777" w:rsidTr="00706453">
        <w:trPr>
          <w:trHeight w:val="144"/>
          <w:jc w:val="center"/>
        </w:trPr>
        <w:tc>
          <w:tcPr>
            <w:tcW w:w="1496" w:type="pct"/>
            <w:vMerge w:val="restart"/>
            <w:tcBorders>
              <w:top w:val="single" w:sz="8" w:space="0" w:color="auto"/>
            </w:tcBorders>
            <w:shd w:val="clear" w:color="auto" w:fill="auto"/>
            <w:vAlign w:val="center"/>
            <w:hideMark/>
          </w:tcPr>
          <w:p w14:paraId="6AC175C1" w14:textId="6775A463" w:rsidR="00085E06" w:rsidRPr="00085E06" w:rsidRDefault="0024433A" w:rsidP="00085E06">
            <w:pPr>
              <w:spacing w:line="240" w:lineRule="auto"/>
              <w:ind w:firstLine="0"/>
              <w:jc w:val="left"/>
              <w:rPr>
                <w:bCs/>
                <w:color w:val="000000"/>
                <w:sz w:val="18"/>
                <w:szCs w:val="18"/>
              </w:rPr>
            </w:pPr>
            <w:r>
              <w:rPr>
                <w:bCs/>
                <w:color w:val="000000"/>
                <w:sz w:val="18"/>
                <w:szCs w:val="18"/>
              </w:rPr>
              <w:t>Semi</w:t>
            </w:r>
            <w:r w:rsidR="00707560">
              <w:rPr>
                <w:bCs/>
                <w:color w:val="000000"/>
                <w:sz w:val="18"/>
                <w:szCs w:val="18"/>
              </w:rPr>
              <w:t>-</w:t>
            </w:r>
            <w:r w:rsidR="00085E06" w:rsidRPr="00085E06">
              <w:rPr>
                <w:bCs/>
                <w:color w:val="000000"/>
                <w:sz w:val="18"/>
                <w:szCs w:val="18"/>
              </w:rPr>
              <w:t>Analytical Model</w:t>
            </w:r>
            <w:r>
              <w:rPr>
                <w:bCs/>
                <w:color w:val="000000"/>
                <w:sz w:val="18"/>
                <w:szCs w:val="18"/>
              </w:rPr>
              <w:t>s</w:t>
            </w:r>
          </w:p>
        </w:tc>
        <w:tc>
          <w:tcPr>
            <w:tcW w:w="1561" w:type="pct"/>
            <w:vMerge w:val="restart"/>
            <w:tcBorders>
              <w:top w:val="single" w:sz="8" w:space="0" w:color="auto"/>
            </w:tcBorders>
            <w:shd w:val="clear" w:color="auto" w:fill="auto"/>
            <w:vAlign w:val="center"/>
            <w:hideMark/>
          </w:tcPr>
          <w:p w14:paraId="1ACF6EAB" w14:textId="77777777" w:rsidR="00085E06" w:rsidRPr="00085E06" w:rsidRDefault="00085E06" w:rsidP="00085E06">
            <w:pPr>
              <w:spacing w:line="240" w:lineRule="auto"/>
              <w:rPr>
                <w:bCs/>
                <w:color w:val="000000"/>
                <w:sz w:val="18"/>
                <w:szCs w:val="18"/>
              </w:rPr>
            </w:pPr>
            <w:r w:rsidRPr="00085E06">
              <w:rPr>
                <w:bCs/>
                <w:color w:val="000000"/>
                <w:sz w:val="18"/>
                <w:szCs w:val="18"/>
              </w:rPr>
              <w:t>Equation</w:t>
            </w:r>
          </w:p>
        </w:tc>
        <w:tc>
          <w:tcPr>
            <w:tcW w:w="1943" w:type="pct"/>
            <w:gridSpan w:val="2"/>
            <w:tcBorders>
              <w:top w:val="single" w:sz="8" w:space="0" w:color="auto"/>
              <w:bottom w:val="single" w:sz="4" w:space="0" w:color="auto"/>
            </w:tcBorders>
            <w:shd w:val="clear" w:color="auto" w:fill="auto"/>
            <w:vAlign w:val="center"/>
            <w:hideMark/>
          </w:tcPr>
          <w:p w14:paraId="22D54BC6" w14:textId="1BE6DDF7" w:rsidR="00085E06" w:rsidRPr="00085E06" w:rsidRDefault="00085E06" w:rsidP="00B83CD4">
            <w:pPr>
              <w:spacing w:line="240" w:lineRule="auto"/>
              <w:ind w:firstLine="0"/>
              <w:rPr>
                <w:bCs/>
                <w:color w:val="000000"/>
                <w:sz w:val="18"/>
                <w:szCs w:val="18"/>
              </w:rPr>
            </w:pPr>
            <w:r w:rsidRPr="00085E06">
              <w:rPr>
                <w:sz w:val="18"/>
                <w:szCs w:val="18"/>
              </w:rPr>
              <w:t xml:space="preserve">Mean </w:t>
            </w:r>
            <w:r w:rsidR="00B83CD4">
              <w:rPr>
                <w:sz w:val="18"/>
                <w:szCs w:val="18"/>
              </w:rPr>
              <w:t>c</w:t>
            </w:r>
            <w:r w:rsidRPr="00085E06">
              <w:rPr>
                <w:sz w:val="18"/>
                <w:szCs w:val="18"/>
              </w:rPr>
              <w:t xml:space="preserve">ompressive </w:t>
            </w:r>
            <w:r w:rsidR="00B83CD4">
              <w:rPr>
                <w:sz w:val="18"/>
                <w:szCs w:val="18"/>
              </w:rPr>
              <w:t>s</w:t>
            </w:r>
            <w:r w:rsidRPr="00085E06">
              <w:rPr>
                <w:sz w:val="18"/>
                <w:szCs w:val="18"/>
              </w:rPr>
              <w:t>trength (</w:t>
            </w:r>
            <m:oMath>
              <m:r>
                <w:rPr>
                  <w:rFonts w:ascii="Cambria Math" w:eastAsiaTheme="minorHAnsi" w:hAnsi="Cambria Math"/>
                  <w:color w:val="000000"/>
                  <w:sz w:val="18"/>
                  <w:szCs w:val="18"/>
                </w:rPr>
                <m:t xml:space="preserve"> </m:t>
              </m:r>
            </m:oMath>
            <w:r w:rsidRPr="00085E06">
              <w:rPr>
                <w:sz w:val="18"/>
                <w:szCs w:val="18"/>
              </w:rPr>
              <w:t>kN)</w:t>
            </w:r>
          </w:p>
        </w:tc>
      </w:tr>
      <w:tr w:rsidR="00085E06" w:rsidRPr="00085E06" w14:paraId="7EE2ED25" w14:textId="77777777" w:rsidTr="00706453">
        <w:trPr>
          <w:trHeight w:val="144"/>
          <w:jc w:val="center"/>
        </w:trPr>
        <w:tc>
          <w:tcPr>
            <w:tcW w:w="1496" w:type="pct"/>
            <w:vMerge/>
            <w:tcBorders>
              <w:bottom w:val="single" w:sz="8" w:space="0" w:color="auto"/>
            </w:tcBorders>
            <w:shd w:val="clear" w:color="auto" w:fill="auto"/>
            <w:vAlign w:val="center"/>
          </w:tcPr>
          <w:p w14:paraId="0AC249D6" w14:textId="77777777" w:rsidR="00085E06" w:rsidRPr="00085E06" w:rsidRDefault="00085E06" w:rsidP="00085E06">
            <w:pPr>
              <w:spacing w:line="240" w:lineRule="auto"/>
              <w:jc w:val="left"/>
              <w:rPr>
                <w:color w:val="FF0000"/>
                <w:sz w:val="18"/>
                <w:szCs w:val="18"/>
              </w:rPr>
            </w:pPr>
          </w:p>
        </w:tc>
        <w:tc>
          <w:tcPr>
            <w:tcW w:w="1561" w:type="pct"/>
            <w:vMerge/>
            <w:tcBorders>
              <w:bottom w:val="single" w:sz="8" w:space="0" w:color="auto"/>
            </w:tcBorders>
            <w:shd w:val="clear" w:color="auto" w:fill="auto"/>
            <w:vAlign w:val="center"/>
          </w:tcPr>
          <w:p w14:paraId="5A97499E" w14:textId="77777777" w:rsidR="00085E06" w:rsidRPr="00085E06" w:rsidRDefault="00085E06" w:rsidP="00085E06">
            <w:pPr>
              <w:spacing w:line="240" w:lineRule="auto"/>
              <w:jc w:val="left"/>
              <w:rPr>
                <w:rFonts w:eastAsia="Calibri"/>
                <w:color w:val="000000"/>
                <w:sz w:val="18"/>
                <w:szCs w:val="18"/>
              </w:rPr>
            </w:pPr>
          </w:p>
        </w:tc>
        <w:tc>
          <w:tcPr>
            <w:tcW w:w="932" w:type="pct"/>
            <w:tcBorders>
              <w:top w:val="single" w:sz="4" w:space="0" w:color="auto"/>
              <w:bottom w:val="single" w:sz="8" w:space="0" w:color="auto"/>
            </w:tcBorders>
            <w:shd w:val="clear" w:color="auto" w:fill="auto"/>
            <w:vAlign w:val="center"/>
          </w:tcPr>
          <w:p w14:paraId="78F0190C" w14:textId="3929C18B" w:rsidR="00085E06" w:rsidRPr="00085E06" w:rsidRDefault="00085E06" w:rsidP="00085E06">
            <w:pPr>
              <w:spacing w:line="240" w:lineRule="auto"/>
              <w:jc w:val="center"/>
              <w:rPr>
                <w:color w:val="000000"/>
                <w:sz w:val="18"/>
                <w:szCs w:val="18"/>
              </w:rPr>
            </w:pPr>
            <w:r w:rsidRPr="00085E06">
              <w:rPr>
                <w:bCs/>
                <w:color w:val="000000"/>
                <w:sz w:val="18"/>
                <w:szCs w:val="18"/>
              </w:rPr>
              <w:t>D/t =40.2</w:t>
            </w:r>
            <w:r w:rsidR="00F66F8C">
              <w:rPr>
                <w:bCs/>
                <w:color w:val="000000"/>
                <w:sz w:val="18"/>
                <w:szCs w:val="18"/>
              </w:rPr>
              <w:t>0</w:t>
            </w:r>
          </w:p>
        </w:tc>
        <w:tc>
          <w:tcPr>
            <w:tcW w:w="1011" w:type="pct"/>
            <w:tcBorders>
              <w:top w:val="single" w:sz="4" w:space="0" w:color="auto"/>
              <w:bottom w:val="single" w:sz="8" w:space="0" w:color="auto"/>
            </w:tcBorders>
            <w:shd w:val="clear" w:color="auto" w:fill="auto"/>
            <w:vAlign w:val="center"/>
          </w:tcPr>
          <w:p w14:paraId="2DFDDBB8" w14:textId="77777777" w:rsidR="00085E06" w:rsidRPr="00085E06" w:rsidRDefault="00085E06" w:rsidP="00085E06">
            <w:pPr>
              <w:spacing w:line="240" w:lineRule="auto"/>
              <w:jc w:val="center"/>
              <w:rPr>
                <w:color w:val="000000"/>
                <w:sz w:val="18"/>
                <w:szCs w:val="18"/>
              </w:rPr>
            </w:pPr>
            <w:r w:rsidRPr="00085E06">
              <w:rPr>
                <w:bCs/>
                <w:color w:val="000000"/>
                <w:sz w:val="18"/>
                <w:szCs w:val="18"/>
              </w:rPr>
              <w:t>D/t 30.15</w:t>
            </w:r>
          </w:p>
        </w:tc>
      </w:tr>
      <w:tr w:rsidR="00085E06" w:rsidRPr="00085E06" w14:paraId="28C6C62B" w14:textId="77777777" w:rsidTr="00706453">
        <w:trPr>
          <w:trHeight w:val="144"/>
          <w:jc w:val="center"/>
        </w:trPr>
        <w:tc>
          <w:tcPr>
            <w:tcW w:w="1496" w:type="pct"/>
            <w:tcBorders>
              <w:top w:val="single" w:sz="8" w:space="0" w:color="auto"/>
              <w:bottom w:val="single" w:sz="4" w:space="0" w:color="auto"/>
            </w:tcBorders>
            <w:shd w:val="clear" w:color="auto" w:fill="auto"/>
            <w:vAlign w:val="center"/>
            <w:hideMark/>
          </w:tcPr>
          <w:p w14:paraId="62B09355" w14:textId="57F074D1" w:rsidR="00085E06" w:rsidRPr="00085E06" w:rsidRDefault="00085E06" w:rsidP="00085E06">
            <w:pPr>
              <w:spacing w:line="240" w:lineRule="auto"/>
              <w:ind w:firstLine="0"/>
              <w:jc w:val="left"/>
              <w:rPr>
                <w:color w:val="000000"/>
                <w:sz w:val="18"/>
                <w:szCs w:val="18"/>
              </w:rPr>
            </w:pPr>
            <w:r w:rsidRPr="00085E06">
              <w:rPr>
                <w:sz w:val="18"/>
                <w:szCs w:val="18"/>
              </w:rPr>
              <w:t>Alexander [</w:t>
            </w:r>
            <w:r w:rsidR="00F66F8C">
              <w:rPr>
                <w:sz w:val="18"/>
                <w:szCs w:val="18"/>
              </w:rPr>
              <w:t>7</w:t>
            </w:r>
            <w:r w:rsidRPr="00085E06">
              <w:rPr>
                <w:sz w:val="18"/>
                <w:szCs w:val="18"/>
              </w:rPr>
              <w:t>]</w:t>
            </w:r>
          </w:p>
        </w:tc>
        <w:tc>
          <w:tcPr>
            <w:tcW w:w="1561" w:type="pct"/>
            <w:tcBorders>
              <w:top w:val="single" w:sz="8" w:space="0" w:color="auto"/>
              <w:bottom w:val="single" w:sz="4" w:space="0" w:color="auto"/>
            </w:tcBorders>
            <w:shd w:val="clear" w:color="auto" w:fill="auto"/>
            <w:vAlign w:val="center"/>
            <w:hideMark/>
          </w:tcPr>
          <w:p w14:paraId="2B111D7D" w14:textId="77777777" w:rsidR="00085E06" w:rsidRPr="00085E06" w:rsidRDefault="00707560" w:rsidP="00085E06">
            <w:pPr>
              <w:spacing w:line="240" w:lineRule="auto"/>
              <w:ind w:firstLine="0"/>
              <w:jc w:val="left"/>
              <w:rPr>
                <w:color w:val="000000"/>
                <w:sz w:val="18"/>
                <w:szCs w:val="18"/>
              </w:rPr>
            </w:pPr>
            <m:oMathPara>
              <m:oMathParaPr>
                <m:jc m:val="left"/>
              </m:oMathParaPr>
              <m:oMath>
                <m:f>
                  <m:fPr>
                    <m:ctrlPr>
                      <w:rPr>
                        <w:rFonts w:ascii="Cambria Math" w:eastAsiaTheme="minorHAnsi" w:hAnsi="Cambria Math"/>
                        <w:i/>
                        <w:color w:val="000000"/>
                        <w:sz w:val="18"/>
                        <w:szCs w:val="18"/>
                      </w:rPr>
                    </m:ctrlPr>
                  </m:fPr>
                  <m:num>
                    <m:sSub>
                      <m:sSubPr>
                        <m:ctrlPr>
                          <w:rPr>
                            <w:rFonts w:ascii="Cambria Math" w:eastAsiaTheme="minorHAnsi" w:hAnsi="Cambria Math"/>
                            <w:i/>
                            <w:color w:val="000000"/>
                            <w:sz w:val="18"/>
                            <w:szCs w:val="18"/>
                          </w:rPr>
                        </m:ctrlPr>
                      </m:sSubPr>
                      <m:e>
                        <m:r>
                          <w:rPr>
                            <w:rFonts w:ascii="Cambria Math" w:hAnsi="Cambria Math"/>
                            <w:color w:val="000000"/>
                            <w:sz w:val="18"/>
                            <w:szCs w:val="18"/>
                          </w:rPr>
                          <m:t>P</m:t>
                        </m:r>
                        <m:ctrlPr>
                          <w:rPr>
                            <w:rFonts w:ascii="Cambria Math" w:hAnsi="Cambria Math"/>
                            <w:i/>
                            <w:color w:val="000000"/>
                            <w:sz w:val="18"/>
                            <w:szCs w:val="18"/>
                          </w:rPr>
                        </m:ctrlPr>
                      </m:e>
                      <m:sub>
                        <m:r>
                          <w:rPr>
                            <w:rFonts w:ascii="Cambria Math" w:hAnsi="Cambria Math"/>
                            <w:color w:val="000000"/>
                            <w:sz w:val="18"/>
                            <w:szCs w:val="18"/>
                          </w:rPr>
                          <m:t>m</m:t>
                        </m:r>
                      </m:sub>
                    </m:sSub>
                  </m:num>
                  <m:den>
                    <m:sSub>
                      <m:sSubPr>
                        <m:ctrlPr>
                          <w:rPr>
                            <w:rFonts w:ascii="Cambria Math" w:eastAsiaTheme="minorHAnsi"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=20.75</m:t>
                </m:r>
                <m:rad>
                  <m:radPr>
                    <m:degHide m:val="1"/>
                    <m:ctrlPr>
                      <w:rPr>
                        <w:rFonts w:ascii="Cambria Math" w:eastAsiaTheme="minorHAnsi" w:hAnsi="Cambria Math"/>
                        <w:i/>
                        <w:color w:val="000000"/>
                        <w:sz w:val="18"/>
                        <w:szCs w:val="18"/>
                      </w:rPr>
                    </m:ctrlPr>
                  </m:radPr>
                  <m:deg/>
                  <m:e>
                    <m:f>
                      <m:fPr>
                        <m:ctrlPr>
                          <w:rPr>
                            <w:rFonts w:ascii="Cambria Math" w:eastAsiaTheme="minorHAnsi" w:hAnsi="Cambria Math"/>
                            <w:i/>
                            <w:color w:val="000000"/>
                            <w:sz w:val="18"/>
                            <w:szCs w:val="18"/>
                          </w:rPr>
                        </m:ctrlPr>
                      </m:fPr>
                      <m:num>
                        <m:r>
                          <w:rPr>
                            <w:rFonts w:ascii="Cambria Math" w:hAnsi="Cambria Math"/>
                            <w:color w:val="000000"/>
                            <w:sz w:val="18"/>
                            <w:szCs w:val="18"/>
                          </w:rPr>
                          <m:t>D</m:t>
                        </m:r>
                      </m:num>
                      <m:den>
                        <m:r>
                          <w:rPr>
                            <w:rFonts w:ascii="Cambria Math" w:hAnsi="Cambria Math"/>
                            <w:color w:val="000000"/>
                            <w:sz w:val="18"/>
                            <w:szCs w:val="18"/>
                          </w:rPr>
                          <m:t>t</m:t>
                        </m:r>
                      </m:den>
                    </m:f>
                  </m:e>
                </m:rad>
                <m:r>
                  <w:rPr>
                    <w:rFonts w:ascii="Cambria Math" w:hAnsi="Cambria Math"/>
                    <w:color w:val="000000"/>
                    <w:sz w:val="18"/>
                    <w:szCs w:val="18"/>
                  </w:rPr>
                  <m:t>+6.283</m:t>
                </m:r>
              </m:oMath>
            </m:oMathPara>
          </w:p>
        </w:tc>
        <w:tc>
          <w:tcPr>
            <w:tcW w:w="932" w:type="pct"/>
            <w:tcBorders>
              <w:top w:val="single" w:sz="8" w:space="0" w:color="auto"/>
              <w:bottom w:val="single" w:sz="4" w:space="0" w:color="auto"/>
            </w:tcBorders>
            <w:shd w:val="clear" w:color="auto" w:fill="auto"/>
            <w:vAlign w:val="center"/>
            <w:hideMark/>
          </w:tcPr>
          <w:p w14:paraId="4AA516AE" w14:textId="77777777" w:rsidR="00085E06" w:rsidRPr="00085E06" w:rsidRDefault="00085E06" w:rsidP="00085E06">
            <w:pPr>
              <w:spacing w:line="240" w:lineRule="auto"/>
              <w:jc w:val="center"/>
              <w:rPr>
                <w:color w:val="000000"/>
                <w:sz w:val="18"/>
                <w:szCs w:val="18"/>
              </w:rPr>
            </w:pPr>
            <w:r w:rsidRPr="00085E06">
              <w:rPr>
                <w:color w:val="000000"/>
                <w:sz w:val="18"/>
                <w:szCs w:val="18"/>
              </w:rPr>
              <w:t>20.8</w:t>
            </w:r>
          </w:p>
        </w:tc>
        <w:tc>
          <w:tcPr>
            <w:tcW w:w="1011" w:type="pct"/>
            <w:tcBorders>
              <w:top w:val="single" w:sz="8" w:space="0" w:color="auto"/>
              <w:bottom w:val="single" w:sz="4" w:space="0" w:color="auto"/>
            </w:tcBorders>
            <w:shd w:val="clear" w:color="auto" w:fill="auto"/>
            <w:vAlign w:val="center"/>
            <w:hideMark/>
          </w:tcPr>
          <w:p w14:paraId="3A63FBFC" w14:textId="77777777" w:rsidR="00085E06" w:rsidRPr="00085E06" w:rsidRDefault="00085E06" w:rsidP="00085E06">
            <w:pPr>
              <w:spacing w:line="240" w:lineRule="auto"/>
              <w:jc w:val="center"/>
              <w:rPr>
                <w:color w:val="000000"/>
                <w:sz w:val="18"/>
                <w:szCs w:val="18"/>
              </w:rPr>
            </w:pPr>
            <w:r w:rsidRPr="00085E06">
              <w:rPr>
                <w:color w:val="000000"/>
                <w:sz w:val="18"/>
                <w:szCs w:val="18"/>
              </w:rPr>
              <w:t>32.2</w:t>
            </w:r>
          </w:p>
        </w:tc>
      </w:tr>
      <w:tr w:rsidR="00085E06" w:rsidRPr="00085E06" w14:paraId="0D2F035B" w14:textId="77777777" w:rsidTr="00706453">
        <w:trPr>
          <w:trHeight w:val="144"/>
          <w:jc w:val="center"/>
        </w:trPr>
        <w:tc>
          <w:tcPr>
            <w:tcW w:w="1496" w:type="pct"/>
            <w:tcBorders>
              <w:top w:val="single" w:sz="4" w:space="0" w:color="auto"/>
              <w:bottom w:val="single" w:sz="4" w:space="0" w:color="auto"/>
            </w:tcBorders>
            <w:shd w:val="clear" w:color="auto" w:fill="auto"/>
            <w:vAlign w:val="center"/>
            <w:hideMark/>
          </w:tcPr>
          <w:p w14:paraId="6CAD2E5E" w14:textId="250FAF00" w:rsidR="00085E06" w:rsidRPr="00085E06" w:rsidRDefault="00085E06" w:rsidP="00085E06">
            <w:pPr>
              <w:spacing w:line="240" w:lineRule="auto"/>
              <w:ind w:firstLine="0"/>
              <w:jc w:val="left"/>
              <w:rPr>
                <w:color w:val="000000"/>
                <w:sz w:val="18"/>
                <w:szCs w:val="18"/>
              </w:rPr>
            </w:pPr>
            <w:proofErr w:type="spellStart"/>
            <w:r w:rsidRPr="00085E06">
              <w:rPr>
                <w:color w:val="000000"/>
                <w:sz w:val="18"/>
                <w:szCs w:val="18"/>
              </w:rPr>
              <w:t>Abramovicz</w:t>
            </w:r>
            <w:proofErr w:type="spellEnd"/>
            <w:r w:rsidRPr="00085E06">
              <w:rPr>
                <w:color w:val="000000"/>
                <w:sz w:val="18"/>
                <w:szCs w:val="18"/>
              </w:rPr>
              <w:t xml:space="preserve"> &amp; Jones [</w:t>
            </w:r>
            <w:r w:rsidR="00F66F8C">
              <w:rPr>
                <w:color w:val="000000"/>
                <w:sz w:val="18"/>
                <w:szCs w:val="18"/>
              </w:rPr>
              <w:t>8</w:t>
            </w:r>
            <w:r w:rsidRPr="00085E06">
              <w:rPr>
                <w:color w:val="000000"/>
                <w:sz w:val="18"/>
                <w:szCs w:val="18"/>
              </w:rPr>
              <w:t>]</w:t>
            </w:r>
          </w:p>
        </w:tc>
        <w:tc>
          <w:tcPr>
            <w:tcW w:w="1561" w:type="pct"/>
            <w:tcBorders>
              <w:top w:val="single" w:sz="4" w:space="0" w:color="auto"/>
              <w:bottom w:val="single" w:sz="4" w:space="0" w:color="auto"/>
            </w:tcBorders>
            <w:shd w:val="clear" w:color="auto" w:fill="auto"/>
            <w:vAlign w:val="center"/>
            <w:hideMark/>
          </w:tcPr>
          <w:p w14:paraId="4AD8C8AE" w14:textId="77777777" w:rsidR="00085E06" w:rsidRPr="00085E06" w:rsidRDefault="00707560" w:rsidP="00085E06">
            <w:pPr>
              <w:spacing w:line="240" w:lineRule="auto"/>
              <w:ind w:firstLine="0"/>
              <w:jc w:val="left"/>
              <w:rPr>
                <w:color w:val="000000"/>
                <w:sz w:val="18"/>
                <w:szCs w:val="18"/>
              </w:rPr>
            </w:pPr>
            <m:oMathPara>
              <m:oMathParaPr>
                <m:jc m:val="left"/>
              </m:oMathParaPr>
              <m:oMath>
                <m:f>
                  <m:fPr>
                    <m:ctrlPr>
                      <w:rPr>
                        <w:rFonts w:ascii="Cambria Math" w:eastAsiaTheme="minorHAnsi" w:hAnsi="Cambria Math"/>
                        <w:i/>
                        <w:color w:val="000000"/>
                        <w:sz w:val="18"/>
                        <w:szCs w:val="18"/>
                      </w:rPr>
                    </m:ctrlPr>
                  </m:fPr>
                  <m:num>
                    <m:sSub>
                      <m:sSubPr>
                        <m:ctrlPr>
                          <w:rPr>
                            <w:rFonts w:ascii="Cambria Math" w:eastAsiaTheme="minorHAnsi"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eastAsiaTheme="minorHAnsi"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=25.230</m:t>
                </m:r>
                <m:rad>
                  <m:radPr>
                    <m:degHide m:val="1"/>
                    <m:ctrlPr>
                      <w:rPr>
                        <w:rFonts w:ascii="Cambria Math" w:eastAsiaTheme="minorHAnsi" w:hAnsi="Cambria Math"/>
                        <w:i/>
                        <w:color w:val="000000"/>
                        <w:sz w:val="18"/>
                        <w:szCs w:val="18"/>
                      </w:rPr>
                    </m:ctrlPr>
                  </m:radPr>
                  <m:deg/>
                  <m:e>
                    <m:f>
                      <m:fPr>
                        <m:ctrlPr>
                          <w:rPr>
                            <w:rFonts w:ascii="Cambria Math" w:eastAsiaTheme="minorHAnsi" w:hAnsi="Cambria Math"/>
                            <w:i/>
                            <w:color w:val="000000"/>
                            <w:sz w:val="18"/>
                            <w:szCs w:val="18"/>
                          </w:rPr>
                        </m:ctrlPr>
                      </m:fPr>
                      <m:num>
                        <m:r>
                          <w:rPr>
                            <w:rFonts w:ascii="Cambria Math" w:hAnsi="Cambria Math"/>
                            <w:color w:val="000000"/>
                            <w:sz w:val="18"/>
                            <w:szCs w:val="18"/>
                          </w:rPr>
                          <m:t>D</m:t>
                        </m:r>
                      </m:num>
                      <m:den>
                        <m:r>
                          <w:rPr>
                            <w:rFonts w:ascii="Cambria Math" w:hAnsi="Cambria Math"/>
                            <w:color w:val="000000"/>
                            <w:sz w:val="18"/>
                            <w:szCs w:val="18"/>
                          </w:rPr>
                          <m:t>t</m:t>
                        </m:r>
                      </m:den>
                    </m:f>
                  </m:e>
                </m:rad>
                <m:r>
                  <w:rPr>
                    <w:rFonts w:ascii="Cambria Math" w:hAnsi="Cambria Math"/>
                    <w:color w:val="000000"/>
                    <w:sz w:val="18"/>
                    <w:szCs w:val="18"/>
                  </w:rPr>
                  <m:t>+15.09</m:t>
                </m:r>
              </m:oMath>
            </m:oMathPara>
          </w:p>
        </w:tc>
        <w:tc>
          <w:tcPr>
            <w:tcW w:w="932" w:type="pct"/>
            <w:tcBorders>
              <w:top w:val="single" w:sz="4" w:space="0" w:color="auto"/>
              <w:bottom w:val="single" w:sz="4" w:space="0" w:color="auto"/>
            </w:tcBorders>
            <w:shd w:val="clear" w:color="auto" w:fill="auto"/>
            <w:vAlign w:val="center"/>
            <w:hideMark/>
          </w:tcPr>
          <w:p w14:paraId="799790DA" w14:textId="77777777" w:rsidR="00085E06" w:rsidRPr="00085E06" w:rsidRDefault="00085E06" w:rsidP="00085E06">
            <w:pPr>
              <w:spacing w:line="240" w:lineRule="auto"/>
              <w:jc w:val="center"/>
              <w:rPr>
                <w:b/>
                <w:color w:val="000000"/>
                <w:sz w:val="18"/>
                <w:szCs w:val="18"/>
              </w:rPr>
            </w:pPr>
            <w:r w:rsidRPr="00085E06">
              <w:rPr>
                <w:b/>
                <w:color w:val="000000"/>
                <w:sz w:val="18"/>
                <w:szCs w:val="18"/>
              </w:rPr>
              <w:t>26.5</w:t>
            </w:r>
          </w:p>
        </w:tc>
        <w:tc>
          <w:tcPr>
            <w:tcW w:w="1011" w:type="pct"/>
            <w:tcBorders>
              <w:top w:val="single" w:sz="4" w:space="0" w:color="auto"/>
              <w:bottom w:val="single" w:sz="4" w:space="0" w:color="auto"/>
            </w:tcBorders>
            <w:shd w:val="clear" w:color="auto" w:fill="auto"/>
            <w:vAlign w:val="center"/>
            <w:hideMark/>
          </w:tcPr>
          <w:p w14:paraId="469CECA3" w14:textId="77777777" w:rsidR="00085E06" w:rsidRPr="00085E06" w:rsidRDefault="00085E06" w:rsidP="00085E06">
            <w:pPr>
              <w:spacing w:line="240" w:lineRule="auto"/>
              <w:jc w:val="center"/>
              <w:rPr>
                <w:b/>
                <w:color w:val="000000"/>
                <w:sz w:val="18"/>
                <w:szCs w:val="18"/>
              </w:rPr>
            </w:pPr>
            <w:r w:rsidRPr="00085E06">
              <w:rPr>
                <w:b/>
                <w:color w:val="000000"/>
                <w:sz w:val="18"/>
                <w:szCs w:val="18"/>
              </w:rPr>
              <w:t>41.3</w:t>
            </w:r>
          </w:p>
        </w:tc>
      </w:tr>
      <w:tr w:rsidR="00085E06" w:rsidRPr="00085E06" w14:paraId="5B3D1C97" w14:textId="77777777" w:rsidTr="00706453">
        <w:trPr>
          <w:trHeight w:val="144"/>
          <w:jc w:val="center"/>
        </w:trPr>
        <w:tc>
          <w:tcPr>
            <w:tcW w:w="1496" w:type="pct"/>
            <w:tcBorders>
              <w:top w:val="single" w:sz="4" w:space="0" w:color="auto"/>
              <w:bottom w:val="single" w:sz="4" w:space="0" w:color="auto"/>
            </w:tcBorders>
            <w:shd w:val="clear" w:color="auto" w:fill="auto"/>
            <w:vAlign w:val="center"/>
            <w:hideMark/>
          </w:tcPr>
          <w:p w14:paraId="5FA0813D" w14:textId="6C42EFFA" w:rsidR="00085E06" w:rsidRPr="00085E06" w:rsidRDefault="00085E06" w:rsidP="00085E06">
            <w:pPr>
              <w:spacing w:line="240" w:lineRule="auto"/>
              <w:ind w:firstLine="0"/>
              <w:jc w:val="left"/>
              <w:rPr>
                <w:color w:val="000000"/>
                <w:sz w:val="18"/>
                <w:szCs w:val="18"/>
              </w:rPr>
            </w:pPr>
            <w:r w:rsidRPr="00085E06">
              <w:rPr>
                <w:sz w:val="18"/>
                <w:szCs w:val="18"/>
              </w:rPr>
              <w:t>Wierzbicki &amp; Bhat [</w:t>
            </w:r>
            <w:r w:rsidR="00F66F8C">
              <w:rPr>
                <w:sz w:val="18"/>
                <w:szCs w:val="18"/>
              </w:rPr>
              <w:t>9</w:t>
            </w:r>
            <w:r w:rsidRPr="00085E06">
              <w:rPr>
                <w:sz w:val="18"/>
                <w:szCs w:val="18"/>
              </w:rPr>
              <w:t>]</w:t>
            </w:r>
          </w:p>
        </w:tc>
        <w:tc>
          <w:tcPr>
            <w:tcW w:w="1561" w:type="pct"/>
            <w:tcBorders>
              <w:top w:val="single" w:sz="4" w:space="0" w:color="auto"/>
              <w:bottom w:val="single" w:sz="4" w:space="0" w:color="auto"/>
            </w:tcBorders>
            <w:shd w:val="clear" w:color="auto" w:fill="auto"/>
            <w:vAlign w:val="center"/>
            <w:hideMark/>
          </w:tcPr>
          <w:p w14:paraId="2B8AF06E" w14:textId="77777777" w:rsidR="00085E06" w:rsidRPr="00085E06" w:rsidRDefault="00707560" w:rsidP="00085E06">
            <w:pPr>
              <w:spacing w:line="240" w:lineRule="auto"/>
              <w:ind w:firstLine="0"/>
              <w:jc w:val="left"/>
              <w:rPr>
                <w:color w:val="000000"/>
                <w:sz w:val="18"/>
                <w:szCs w:val="18"/>
              </w:rPr>
            </w:pPr>
            <m:oMathPara>
              <m:oMathParaPr>
                <m:jc m:val="left"/>
              </m:oMathParaPr>
              <m:oMath>
                <m:f>
                  <m:fPr>
                    <m:ctrlPr>
                      <w:rPr>
                        <w:rFonts w:ascii="Cambria Math" w:eastAsiaTheme="minorHAnsi" w:hAnsi="Cambria Math"/>
                        <w:i/>
                        <w:color w:val="000000"/>
                        <w:sz w:val="18"/>
                        <w:szCs w:val="18"/>
                      </w:rPr>
                    </m:ctrlPr>
                  </m:fPr>
                  <m:num>
                    <m:sSub>
                      <m:sSubPr>
                        <m:ctrlPr>
                          <w:rPr>
                            <w:rFonts w:ascii="Cambria Math" w:eastAsiaTheme="minorHAnsi"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eastAsiaTheme="minorHAnsi"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=35.22</m:t>
                </m:r>
                <m:rad>
                  <m:radPr>
                    <m:degHide m:val="1"/>
                    <m:ctrlPr>
                      <w:rPr>
                        <w:rFonts w:ascii="Cambria Math" w:eastAsiaTheme="minorHAnsi" w:hAnsi="Cambria Math"/>
                        <w:i/>
                        <w:color w:val="000000"/>
                        <w:sz w:val="18"/>
                        <w:szCs w:val="18"/>
                      </w:rPr>
                    </m:ctrlPr>
                  </m:radPr>
                  <m:deg/>
                  <m:e>
                    <m:f>
                      <m:fPr>
                        <m:ctrlPr>
                          <w:rPr>
                            <w:rFonts w:ascii="Cambria Math" w:eastAsiaTheme="minorHAnsi" w:hAnsi="Cambria Math"/>
                            <w:i/>
                            <w:color w:val="000000"/>
                            <w:sz w:val="18"/>
                            <w:szCs w:val="18"/>
                          </w:rPr>
                        </m:ctrlPr>
                      </m:fPr>
                      <m:num>
                        <m:r>
                          <w:rPr>
                            <w:rFonts w:ascii="Cambria Math" w:hAnsi="Cambria Math"/>
                            <w:color w:val="000000"/>
                            <w:sz w:val="18"/>
                            <w:szCs w:val="18"/>
                          </w:rPr>
                          <m:t>D</m:t>
                        </m:r>
                      </m:num>
                      <m:den>
                        <m:r>
                          <w:rPr>
                            <w:rFonts w:ascii="Cambria Math" w:hAnsi="Cambria Math"/>
                            <w:color w:val="000000"/>
                            <w:sz w:val="18"/>
                            <w:szCs w:val="18"/>
                          </w:rPr>
                          <m:t>t</m:t>
                        </m:r>
                      </m:den>
                    </m:f>
                  </m:e>
                </m:rad>
              </m:oMath>
            </m:oMathPara>
          </w:p>
        </w:tc>
        <w:tc>
          <w:tcPr>
            <w:tcW w:w="932" w:type="pct"/>
            <w:tcBorders>
              <w:top w:val="single" w:sz="4" w:space="0" w:color="auto"/>
              <w:bottom w:val="single" w:sz="4" w:space="0" w:color="auto"/>
            </w:tcBorders>
            <w:shd w:val="clear" w:color="auto" w:fill="auto"/>
            <w:vAlign w:val="center"/>
            <w:hideMark/>
          </w:tcPr>
          <w:p w14:paraId="0C367BB0" w14:textId="77777777" w:rsidR="00085E06" w:rsidRPr="00085E06" w:rsidRDefault="00085E06" w:rsidP="00085E06">
            <w:pPr>
              <w:spacing w:line="240" w:lineRule="auto"/>
              <w:jc w:val="center"/>
              <w:rPr>
                <w:color w:val="000000"/>
                <w:sz w:val="18"/>
                <w:szCs w:val="18"/>
              </w:rPr>
            </w:pPr>
            <w:r w:rsidRPr="00085E06">
              <w:rPr>
                <w:color w:val="000000"/>
                <w:sz w:val="18"/>
                <w:szCs w:val="18"/>
              </w:rPr>
              <w:t>33.7</w:t>
            </w:r>
          </w:p>
        </w:tc>
        <w:tc>
          <w:tcPr>
            <w:tcW w:w="1011" w:type="pct"/>
            <w:tcBorders>
              <w:top w:val="single" w:sz="4" w:space="0" w:color="auto"/>
              <w:bottom w:val="single" w:sz="4" w:space="0" w:color="auto"/>
            </w:tcBorders>
            <w:shd w:val="clear" w:color="auto" w:fill="auto"/>
            <w:vAlign w:val="center"/>
            <w:hideMark/>
          </w:tcPr>
          <w:p w14:paraId="2133CC9B" w14:textId="77777777" w:rsidR="00085E06" w:rsidRPr="00085E06" w:rsidRDefault="00085E06" w:rsidP="00085E06">
            <w:pPr>
              <w:spacing w:line="240" w:lineRule="auto"/>
              <w:jc w:val="center"/>
              <w:rPr>
                <w:color w:val="000000"/>
                <w:sz w:val="18"/>
                <w:szCs w:val="18"/>
              </w:rPr>
            </w:pPr>
            <w:r w:rsidRPr="00085E06">
              <w:rPr>
                <w:color w:val="000000"/>
                <w:sz w:val="18"/>
                <w:szCs w:val="18"/>
              </w:rPr>
              <w:t>51.8</w:t>
            </w:r>
          </w:p>
        </w:tc>
      </w:tr>
      <w:tr w:rsidR="00085E06" w:rsidRPr="00085E06" w14:paraId="53EF399A" w14:textId="77777777" w:rsidTr="00706453">
        <w:trPr>
          <w:trHeight w:val="144"/>
          <w:jc w:val="center"/>
        </w:trPr>
        <w:tc>
          <w:tcPr>
            <w:tcW w:w="1496" w:type="pct"/>
            <w:tcBorders>
              <w:top w:val="single" w:sz="4" w:space="0" w:color="auto"/>
              <w:bottom w:val="single" w:sz="4" w:space="0" w:color="auto"/>
            </w:tcBorders>
            <w:shd w:val="clear" w:color="auto" w:fill="auto"/>
            <w:vAlign w:val="center"/>
            <w:hideMark/>
          </w:tcPr>
          <w:p w14:paraId="527EB53B" w14:textId="3513851B" w:rsidR="00085E06" w:rsidRPr="00085E06" w:rsidRDefault="00085E06" w:rsidP="00085E06">
            <w:pPr>
              <w:spacing w:line="240" w:lineRule="auto"/>
              <w:ind w:firstLine="0"/>
              <w:jc w:val="left"/>
              <w:rPr>
                <w:color w:val="000000"/>
                <w:sz w:val="18"/>
                <w:szCs w:val="18"/>
              </w:rPr>
            </w:pPr>
            <w:r w:rsidRPr="00085E06">
              <w:rPr>
                <w:color w:val="000000"/>
                <w:sz w:val="18"/>
                <w:szCs w:val="18"/>
              </w:rPr>
              <w:t>Wierzbicki et al. [1</w:t>
            </w:r>
            <w:r w:rsidR="00F66F8C">
              <w:rPr>
                <w:color w:val="000000"/>
                <w:sz w:val="18"/>
                <w:szCs w:val="18"/>
              </w:rPr>
              <w:t>0</w:t>
            </w:r>
            <w:r w:rsidRPr="00085E06">
              <w:rPr>
                <w:color w:val="000000"/>
                <w:sz w:val="18"/>
                <w:szCs w:val="18"/>
              </w:rPr>
              <w:t>]</w:t>
            </w:r>
          </w:p>
        </w:tc>
        <w:tc>
          <w:tcPr>
            <w:tcW w:w="1561" w:type="pct"/>
            <w:tcBorders>
              <w:top w:val="single" w:sz="4" w:space="0" w:color="auto"/>
              <w:bottom w:val="single" w:sz="4" w:space="0" w:color="auto"/>
            </w:tcBorders>
            <w:shd w:val="clear" w:color="auto" w:fill="auto"/>
            <w:vAlign w:val="center"/>
            <w:hideMark/>
          </w:tcPr>
          <w:p w14:paraId="61FB733F" w14:textId="77777777" w:rsidR="00085E06" w:rsidRPr="00085E06" w:rsidRDefault="00707560" w:rsidP="00085E06">
            <w:pPr>
              <w:spacing w:line="240" w:lineRule="auto"/>
              <w:ind w:firstLine="0"/>
              <w:jc w:val="left"/>
              <w:rPr>
                <w:color w:val="000000"/>
                <w:sz w:val="18"/>
                <w:szCs w:val="18"/>
              </w:rPr>
            </w:pPr>
            <m:oMathPara>
              <m:oMathParaPr>
                <m:jc m:val="left"/>
              </m:oMathParaPr>
              <m:oMath>
                <m:f>
                  <m:fPr>
                    <m:ctrlPr>
                      <w:rPr>
                        <w:rFonts w:ascii="Cambria Math" w:eastAsiaTheme="minorHAnsi" w:hAnsi="Cambria Math"/>
                        <w:i/>
                        <w:color w:val="000000"/>
                        <w:sz w:val="18"/>
                        <w:szCs w:val="18"/>
                      </w:rPr>
                    </m:ctrlPr>
                  </m:fPr>
                  <m:num>
                    <m:sSub>
                      <m:sSubPr>
                        <m:ctrlPr>
                          <w:rPr>
                            <w:rFonts w:ascii="Cambria Math" w:eastAsiaTheme="minorHAnsi"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eastAsiaTheme="minorHAnsi"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=31.75</m:t>
                </m:r>
                <m:rad>
                  <m:radPr>
                    <m:degHide m:val="1"/>
                    <m:ctrlPr>
                      <w:rPr>
                        <w:rFonts w:ascii="Cambria Math" w:eastAsiaTheme="minorHAnsi" w:hAnsi="Cambria Math"/>
                        <w:i/>
                        <w:color w:val="000000"/>
                        <w:sz w:val="18"/>
                        <w:szCs w:val="18"/>
                      </w:rPr>
                    </m:ctrlPr>
                  </m:radPr>
                  <m:deg/>
                  <m:e>
                    <m:f>
                      <m:fPr>
                        <m:ctrlPr>
                          <w:rPr>
                            <w:rFonts w:ascii="Cambria Math" w:eastAsiaTheme="minorHAnsi" w:hAnsi="Cambria Math"/>
                            <w:i/>
                            <w:color w:val="000000"/>
                            <w:sz w:val="18"/>
                            <w:szCs w:val="18"/>
                          </w:rPr>
                        </m:ctrlPr>
                      </m:fPr>
                      <m:num>
                        <m:r>
                          <w:rPr>
                            <w:rFonts w:ascii="Cambria Math" w:hAnsi="Cambria Math"/>
                            <w:color w:val="000000"/>
                            <w:sz w:val="18"/>
                            <w:szCs w:val="18"/>
                          </w:rPr>
                          <m:t>D</m:t>
                        </m:r>
                      </m:num>
                      <m:den>
                        <m:r>
                          <w:rPr>
                            <w:rFonts w:ascii="Cambria Math" w:hAnsi="Cambria Math"/>
                            <w:color w:val="000000"/>
                            <w:sz w:val="18"/>
                            <w:szCs w:val="18"/>
                          </w:rPr>
                          <m:t>t</m:t>
                        </m:r>
                      </m:den>
                    </m:f>
                  </m:e>
                </m:rad>
              </m:oMath>
            </m:oMathPara>
          </w:p>
        </w:tc>
        <w:tc>
          <w:tcPr>
            <w:tcW w:w="932" w:type="pct"/>
            <w:tcBorders>
              <w:top w:val="single" w:sz="4" w:space="0" w:color="auto"/>
              <w:bottom w:val="single" w:sz="4" w:space="0" w:color="auto"/>
            </w:tcBorders>
            <w:shd w:val="clear" w:color="auto" w:fill="auto"/>
            <w:vAlign w:val="center"/>
            <w:hideMark/>
          </w:tcPr>
          <w:p w14:paraId="0681176D" w14:textId="77777777" w:rsidR="00085E06" w:rsidRPr="00085E06" w:rsidRDefault="00085E06" w:rsidP="00085E06">
            <w:pPr>
              <w:spacing w:line="240" w:lineRule="auto"/>
              <w:jc w:val="center"/>
              <w:rPr>
                <w:color w:val="000000"/>
                <w:sz w:val="18"/>
                <w:szCs w:val="18"/>
              </w:rPr>
            </w:pPr>
            <w:r w:rsidRPr="00085E06">
              <w:rPr>
                <w:color w:val="000000"/>
                <w:sz w:val="18"/>
                <w:szCs w:val="18"/>
              </w:rPr>
              <w:t>30.3</w:t>
            </w:r>
          </w:p>
        </w:tc>
        <w:tc>
          <w:tcPr>
            <w:tcW w:w="1011" w:type="pct"/>
            <w:tcBorders>
              <w:top w:val="single" w:sz="4" w:space="0" w:color="auto"/>
              <w:bottom w:val="single" w:sz="4" w:space="0" w:color="auto"/>
            </w:tcBorders>
            <w:shd w:val="clear" w:color="auto" w:fill="auto"/>
            <w:vAlign w:val="center"/>
            <w:hideMark/>
          </w:tcPr>
          <w:p w14:paraId="216C546A" w14:textId="77777777" w:rsidR="00085E06" w:rsidRPr="00085E06" w:rsidRDefault="00085E06" w:rsidP="00085E06">
            <w:pPr>
              <w:spacing w:line="240" w:lineRule="auto"/>
              <w:jc w:val="center"/>
              <w:rPr>
                <w:color w:val="000000"/>
                <w:sz w:val="18"/>
                <w:szCs w:val="18"/>
              </w:rPr>
            </w:pPr>
            <w:r w:rsidRPr="00085E06">
              <w:rPr>
                <w:color w:val="000000"/>
                <w:sz w:val="18"/>
                <w:szCs w:val="18"/>
              </w:rPr>
              <w:t>46.7</w:t>
            </w:r>
          </w:p>
        </w:tc>
      </w:tr>
      <w:tr w:rsidR="00085E06" w:rsidRPr="00085E06" w14:paraId="26A65DE5" w14:textId="77777777" w:rsidTr="00706453">
        <w:trPr>
          <w:trHeight w:val="144"/>
          <w:jc w:val="center"/>
        </w:trPr>
        <w:tc>
          <w:tcPr>
            <w:tcW w:w="1496" w:type="pct"/>
            <w:tcBorders>
              <w:top w:val="single" w:sz="4" w:space="0" w:color="auto"/>
              <w:bottom w:val="single" w:sz="4" w:space="0" w:color="auto"/>
            </w:tcBorders>
            <w:shd w:val="clear" w:color="auto" w:fill="auto"/>
            <w:vAlign w:val="center"/>
            <w:hideMark/>
          </w:tcPr>
          <w:p w14:paraId="1B81B3A5" w14:textId="3EF71C14" w:rsidR="00085E06" w:rsidRPr="00085E06" w:rsidRDefault="00085E06" w:rsidP="00085E06">
            <w:pPr>
              <w:spacing w:line="240" w:lineRule="auto"/>
              <w:ind w:firstLine="0"/>
              <w:jc w:val="left"/>
              <w:rPr>
                <w:color w:val="000000"/>
                <w:sz w:val="18"/>
                <w:szCs w:val="18"/>
              </w:rPr>
            </w:pPr>
            <w:proofErr w:type="spellStart"/>
            <w:r w:rsidRPr="00085E06">
              <w:rPr>
                <w:color w:val="000000"/>
                <w:sz w:val="18"/>
                <w:szCs w:val="18"/>
              </w:rPr>
              <w:t>Singace</w:t>
            </w:r>
            <w:proofErr w:type="spellEnd"/>
            <w:r w:rsidRPr="00085E06">
              <w:rPr>
                <w:color w:val="000000"/>
                <w:sz w:val="18"/>
                <w:szCs w:val="18"/>
              </w:rPr>
              <w:t xml:space="preserve"> et al. [1</w:t>
            </w:r>
            <w:r w:rsidR="00F66F8C">
              <w:rPr>
                <w:color w:val="000000"/>
                <w:sz w:val="18"/>
                <w:szCs w:val="18"/>
              </w:rPr>
              <w:t>1</w:t>
            </w:r>
            <w:r w:rsidRPr="00085E06">
              <w:rPr>
                <w:color w:val="000000"/>
                <w:sz w:val="18"/>
                <w:szCs w:val="18"/>
              </w:rPr>
              <w:t>]</w:t>
            </w:r>
          </w:p>
        </w:tc>
        <w:tc>
          <w:tcPr>
            <w:tcW w:w="1561" w:type="pct"/>
            <w:tcBorders>
              <w:top w:val="single" w:sz="4" w:space="0" w:color="auto"/>
              <w:bottom w:val="single" w:sz="4" w:space="0" w:color="auto"/>
            </w:tcBorders>
            <w:shd w:val="clear" w:color="auto" w:fill="auto"/>
            <w:vAlign w:val="center"/>
            <w:hideMark/>
          </w:tcPr>
          <w:p w14:paraId="59D58D98" w14:textId="77777777" w:rsidR="00085E06" w:rsidRPr="00085E06" w:rsidRDefault="00707560" w:rsidP="00085E06">
            <w:pPr>
              <w:spacing w:line="240" w:lineRule="auto"/>
              <w:ind w:firstLine="0"/>
              <w:jc w:val="left"/>
              <w:rPr>
                <w:color w:val="000000"/>
                <w:sz w:val="18"/>
                <w:szCs w:val="18"/>
              </w:rPr>
            </w:pPr>
            <m:oMathPara>
              <m:oMathParaPr>
                <m:jc m:val="left"/>
              </m:oMathParaPr>
              <m:oMath>
                <m:f>
                  <m:fPr>
                    <m:ctrlPr>
                      <w:rPr>
                        <w:rFonts w:ascii="Cambria Math" w:eastAsiaTheme="minorHAnsi" w:hAnsi="Cambria Math"/>
                        <w:i/>
                        <w:color w:val="000000"/>
                        <w:sz w:val="18"/>
                        <w:szCs w:val="18"/>
                      </w:rPr>
                    </m:ctrlPr>
                  </m:fPr>
                  <m:num>
                    <m:sSub>
                      <m:sSubPr>
                        <m:ctrlPr>
                          <w:rPr>
                            <w:rFonts w:ascii="Cambria Math" w:eastAsiaTheme="minorHAnsi"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eastAsiaTheme="minorHAnsi"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=22.27</m:t>
                </m:r>
                <m:rad>
                  <m:radPr>
                    <m:degHide m:val="1"/>
                    <m:ctrlPr>
                      <w:rPr>
                        <w:rFonts w:ascii="Cambria Math" w:eastAsiaTheme="minorHAnsi" w:hAnsi="Cambria Math"/>
                        <w:i/>
                        <w:color w:val="000000"/>
                        <w:sz w:val="18"/>
                        <w:szCs w:val="18"/>
                      </w:rPr>
                    </m:ctrlPr>
                  </m:radPr>
                  <m:deg/>
                  <m:e>
                    <m:f>
                      <m:fPr>
                        <m:ctrlPr>
                          <w:rPr>
                            <w:rFonts w:ascii="Cambria Math" w:eastAsiaTheme="minorHAnsi" w:hAnsi="Cambria Math"/>
                            <w:i/>
                            <w:color w:val="000000"/>
                            <w:sz w:val="18"/>
                            <w:szCs w:val="18"/>
                          </w:rPr>
                        </m:ctrlPr>
                      </m:fPr>
                      <m:num>
                        <m:r>
                          <w:rPr>
                            <w:rFonts w:ascii="Cambria Math" w:hAnsi="Cambria Math"/>
                            <w:color w:val="000000"/>
                            <w:sz w:val="18"/>
                            <w:szCs w:val="18"/>
                          </w:rPr>
                          <m:t>D</m:t>
                        </m:r>
                      </m:num>
                      <m:den>
                        <m:r>
                          <w:rPr>
                            <w:rFonts w:ascii="Cambria Math" w:hAnsi="Cambria Math"/>
                            <w:color w:val="000000"/>
                            <w:sz w:val="18"/>
                            <w:szCs w:val="18"/>
                          </w:rPr>
                          <m:t>t</m:t>
                        </m:r>
                      </m:den>
                    </m:f>
                  </m:e>
                </m:rad>
                <m:r>
                  <w:rPr>
                    <w:rFonts w:ascii="Cambria Math" w:hAnsi="Cambria Math"/>
                    <w:color w:val="000000"/>
                    <w:sz w:val="18"/>
                    <w:szCs w:val="18"/>
                  </w:rPr>
                  <m:t>+5.632</m:t>
                </m:r>
              </m:oMath>
            </m:oMathPara>
          </w:p>
        </w:tc>
        <w:tc>
          <w:tcPr>
            <w:tcW w:w="932" w:type="pct"/>
            <w:tcBorders>
              <w:top w:val="single" w:sz="4" w:space="0" w:color="auto"/>
              <w:bottom w:val="single" w:sz="4" w:space="0" w:color="auto"/>
            </w:tcBorders>
            <w:shd w:val="clear" w:color="auto" w:fill="auto"/>
            <w:vAlign w:val="center"/>
            <w:hideMark/>
          </w:tcPr>
          <w:p w14:paraId="70A5D316" w14:textId="77777777" w:rsidR="00085E06" w:rsidRPr="00085E06" w:rsidRDefault="00085E06" w:rsidP="00085E06">
            <w:pPr>
              <w:spacing w:line="240" w:lineRule="auto"/>
              <w:jc w:val="center"/>
              <w:rPr>
                <w:color w:val="000000"/>
                <w:sz w:val="18"/>
                <w:szCs w:val="18"/>
              </w:rPr>
            </w:pPr>
            <w:r w:rsidRPr="00085E06">
              <w:rPr>
                <w:color w:val="000000"/>
                <w:sz w:val="18"/>
                <w:szCs w:val="18"/>
              </w:rPr>
              <w:t>22.1</w:t>
            </w:r>
          </w:p>
        </w:tc>
        <w:tc>
          <w:tcPr>
            <w:tcW w:w="1011" w:type="pct"/>
            <w:tcBorders>
              <w:top w:val="single" w:sz="4" w:space="0" w:color="auto"/>
              <w:bottom w:val="single" w:sz="4" w:space="0" w:color="auto"/>
            </w:tcBorders>
            <w:shd w:val="clear" w:color="auto" w:fill="auto"/>
            <w:vAlign w:val="center"/>
            <w:hideMark/>
          </w:tcPr>
          <w:p w14:paraId="249FEF26" w14:textId="77777777" w:rsidR="00085E06" w:rsidRPr="00085E06" w:rsidRDefault="00085E06" w:rsidP="00085E06">
            <w:pPr>
              <w:spacing w:line="240" w:lineRule="auto"/>
              <w:jc w:val="center"/>
              <w:rPr>
                <w:color w:val="000000"/>
                <w:sz w:val="18"/>
                <w:szCs w:val="18"/>
              </w:rPr>
            </w:pPr>
            <w:r w:rsidRPr="00085E06">
              <w:rPr>
                <w:color w:val="000000"/>
                <w:sz w:val="18"/>
                <w:szCs w:val="18"/>
              </w:rPr>
              <w:t>34.3</w:t>
            </w:r>
          </w:p>
        </w:tc>
      </w:tr>
      <w:tr w:rsidR="00085E06" w:rsidRPr="00085E06" w14:paraId="380A22B2" w14:textId="77777777" w:rsidTr="00706453">
        <w:trPr>
          <w:trHeight w:val="144"/>
          <w:jc w:val="center"/>
        </w:trPr>
        <w:tc>
          <w:tcPr>
            <w:tcW w:w="1496" w:type="pct"/>
            <w:tcBorders>
              <w:top w:val="single" w:sz="4" w:space="0" w:color="auto"/>
              <w:bottom w:val="single" w:sz="8" w:space="0" w:color="auto"/>
            </w:tcBorders>
            <w:shd w:val="clear" w:color="auto" w:fill="auto"/>
            <w:vAlign w:val="center"/>
            <w:hideMark/>
          </w:tcPr>
          <w:p w14:paraId="576CF2E8" w14:textId="0B8927B4" w:rsidR="00085E06" w:rsidRPr="00085E06" w:rsidRDefault="00085E06" w:rsidP="00085E06">
            <w:pPr>
              <w:spacing w:line="240" w:lineRule="auto"/>
              <w:ind w:firstLine="0"/>
              <w:jc w:val="left"/>
              <w:rPr>
                <w:color w:val="000000"/>
                <w:sz w:val="18"/>
                <w:szCs w:val="18"/>
              </w:rPr>
            </w:pPr>
            <w:proofErr w:type="spellStart"/>
            <w:r w:rsidRPr="00085E06">
              <w:rPr>
                <w:color w:val="000000"/>
                <w:sz w:val="18"/>
                <w:szCs w:val="18"/>
              </w:rPr>
              <w:t>Guillow</w:t>
            </w:r>
            <w:proofErr w:type="spellEnd"/>
            <w:r w:rsidRPr="00085E06">
              <w:rPr>
                <w:color w:val="000000"/>
                <w:sz w:val="18"/>
                <w:szCs w:val="18"/>
              </w:rPr>
              <w:t xml:space="preserve"> et al. [1</w:t>
            </w:r>
            <w:r w:rsidR="00F66F8C">
              <w:rPr>
                <w:color w:val="000000"/>
                <w:sz w:val="18"/>
                <w:szCs w:val="18"/>
              </w:rPr>
              <w:t>2</w:t>
            </w:r>
            <w:r w:rsidRPr="00085E06">
              <w:rPr>
                <w:color w:val="000000"/>
                <w:sz w:val="18"/>
                <w:szCs w:val="18"/>
              </w:rPr>
              <w:t>]</w:t>
            </w:r>
          </w:p>
        </w:tc>
        <w:tc>
          <w:tcPr>
            <w:tcW w:w="1561" w:type="pct"/>
            <w:tcBorders>
              <w:top w:val="single" w:sz="4" w:space="0" w:color="auto"/>
              <w:bottom w:val="single" w:sz="8" w:space="0" w:color="auto"/>
            </w:tcBorders>
            <w:shd w:val="clear" w:color="auto" w:fill="auto"/>
            <w:vAlign w:val="center"/>
            <w:hideMark/>
          </w:tcPr>
          <w:p w14:paraId="09AF8A86" w14:textId="77777777" w:rsidR="00085E06" w:rsidRPr="00085E06" w:rsidRDefault="00707560" w:rsidP="00085E06">
            <w:pPr>
              <w:spacing w:line="240" w:lineRule="auto"/>
              <w:ind w:firstLine="0"/>
              <w:jc w:val="left"/>
              <w:rPr>
                <w:color w:val="000000"/>
                <w:sz w:val="18"/>
                <w:szCs w:val="18"/>
              </w:rPr>
            </w:pPr>
            <m:oMathPara>
              <m:oMathParaPr>
                <m:jc m:val="left"/>
              </m:oMathParaPr>
              <m:oMath>
                <m:f>
                  <m:fPr>
                    <m:ctrlPr>
                      <w:rPr>
                        <w:rFonts w:ascii="Cambria Math" w:eastAsiaTheme="minorHAnsi" w:hAnsi="Cambria Math"/>
                        <w:i/>
                        <w:color w:val="000000"/>
                        <w:sz w:val="18"/>
                        <w:szCs w:val="18"/>
                      </w:rPr>
                    </m:ctrlPr>
                  </m:fPr>
                  <m:num>
                    <m:sSub>
                      <m:sSubPr>
                        <m:ctrlPr>
                          <w:rPr>
                            <w:rFonts w:ascii="Cambria Math" w:eastAsiaTheme="minorHAnsi"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eastAsiaTheme="minorHAnsi"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 xml:space="preserve">=72.3 </m:t>
                </m:r>
                <m:sSup>
                  <m:sSupPr>
                    <m:ctrlPr>
                      <w:rPr>
                        <w:rFonts w:ascii="Cambria Math" w:eastAsiaTheme="minorHAnsi" w:hAnsi="Cambria Math"/>
                        <w:i/>
                        <w:color w:val="000000"/>
                        <w:sz w:val="18"/>
                        <w:szCs w:val="18"/>
                      </w:rPr>
                    </m:ctrlPr>
                  </m:sSupPr>
                  <m:e>
                    <m:d>
                      <m:dPr>
                        <m:ctrlPr>
                          <w:rPr>
                            <w:rFonts w:ascii="Cambria Math" w:hAnsi="Cambria Math"/>
                            <w:i/>
                            <w:color w:val="000000"/>
                            <w:sz w:val="18"/>
                            <w:szCs w:val="18"/>
                          </w:rPr>
                        </m:ctrlPr>
                      </m:dPr>
                      <m:e>
                        <m:f>
                          <m:fPr>
                            <m:ctrlPr>
                              <w:rPr>
                                <w:rFonts w:ascii="Cambria Math" w:eastAsiaTheme="minorHAnsi" w:hAnsi="Cambria Math"/>
                                <w:i/>
                                <w:color w:val="000000"/>
                                <w:sz w:val="18"/>
                                <w:szCs w:val="18"/>
                              </w:rPr>
                            </m:ctrlPr>
                          </m:fPr>
                          <m:num>
                            <m:r>
                              <w:rPr>
                                <w:rFonts w:ascii="Cambria Math" w:hAnsi="Cambria Math"/>
                                <w:color w:val="000000"/>
                                <w:sz w:val="18"/>
                                <w:szCs w:val="18"/>
                              </w:rPr>
                              <m:t>D</m:t>
                            </m:r>
                          </m:num>
                          <m:den>
                            <m:r>
                              <w:rPr>
                                <w:rFonts w:ascii="Cambria Math" w:hAnsi="Cambria Math"/>
                                <w:color w:val="000000"/>
                                <w:sz w:val="18"/>
                                <w:szCs w:val="18"/>
                              </w:rPr>
                              <m:t>t</m:t>
                            </m:r>
                          </m:den>
                        </m:f>
                      </m:e>
                    </m:d>
                  </m:e>
                  <m:sup>
                    <m:r>
                      <w:rPr>
                        <w:rFonts w:ascii="Cambria Math" w:hAnsi="Cambria Math"/>
                        <w:color w:val="000000"/>
                        <w:sz w:val="18"/>
                        <w:szCs w:val="18"/>
                      </w:rPr>
                      <m:t>0.32</m:t>
                    </m:r>
                  </m:sup>
                </m:sSup>
              </m:oMath>
            </m:oMathPara>
          </w:p>
        </w:tc>
        <w:tc>
          <w:tcPr>
            <w:tcW w:w="932" w:type="pct"/>
            <w:tcBorders>
              <w:top w:val="single" w:sz="4" w:space="0" w:color="auto"/>
              <w:bottom w:val="single" w:sz="8" w:space="0" w:color="auto"/>
            </w:tcBorders>
            <w:shd w:val="clear" w:color="auto" w:fill="auto"/>
            <w:vAlign w:val="center"/>
            <w:hideMark/>
          </w:tcPr>
          <w:p w14:paraId="2E61DACC" w14:textId="77777777" w:rsidR="00085E06" w:rsidRPr="00085E06" w:rsidRDefault="00085E06" w:rsidP="00085E06">
            <w:pPr>
              <w:spacing w:line="240" w:lineRule="auto"/>
              <w:jc w:val="center"/>
              <w:rPr>
                <w:color w:val="000000"/>
                <w:sz w:val="18"/>
                <w:szCs w:val="18"/>
              </w:rPr>
            </w:pPr>
            <w:r w:rsidRPr="00085E06">
              <w:rPr>
                <w:color w:val="000000"/>
                <w:sz w:val="18"/>
                <w:szCs w:val="18"/>
              </w:rPr>
              <w:t>35.6</w:t>
            </w:r>
          </w:p>
        </w:tc>
        <w:tc>
          <w:tcPr>
            <w:tcW w:w="1011" w:type="pct"/>
            <w:tcBorders>
              <w:top w:val="single" w:sz="4" w:space="0" w:color="auto"/>
              <w:bottom w:val="single" w:sz="8" w:space="0" w:color="auto"/>
            </w:tcBorders>
            <w:shd w:val="clear" w:color="auto" w:fill="auto"/>
            <w:vAlign w:val="center"/>
            <w:hideMark/>
          </w:tcPr>
          <w:p w14:paraId="7B138CB6" w14:textId="77777777" w:rsidR="00085E06" w:rsidRPr="00085E06" w:rsidRDefault="00085E06" w:rsidP="00085E06">
            <w:pPr>
              <w:spacing w:line="240" w:lineRule="auto"/>
              <w:jc w:val="center"/>
              <w:rPr>
                <w:color w:val="000000"/>
                <w:sz w:val="18"/>
                <w:szCs w:val="18"/>
              </w:rPr>
            </w:pPr>
            <w:r w:rsidRPr="00085E06">
              <w:rPr>
                <w:color w:val="000000"/>
                <w:sz w:val="18"/>
                <w:szCs w:val="18"/>
              </w:rPr>
              <w:t>57.6</w:t>
            </w:r>
          </w:p>
        </w:tc>
      </w:tr>
    </w:tbl>
    <w:p w14:paraId="268A4038" w14:textId="77777777" w:rsidR="00535D34" w:rsidRDefault="00535D34" w:rsidP="00EE5E2F">
      <w:pPr>
        <w:pStyle w:val="p1a"/>
      </w:pPr>
    </w:p>
    <w:p w14:paraId="7B4D636E" w14:textId="27264743" w:rsidR="00085E06" w:rsidRPr="00EE5E2F" w:rsidRDefault="00085E06" w:rsidP="00EE5E2F">
      <w:pPr>
        <w:pStyle w:val="p1a"/>
      </w:pPr>
      <w:r w:rsidRPr="00EE5E2F">
        <w:t>Even though the specimens are categorized under short column theory, there will be minimal influence of length over them concerning global buckling. Therefore, the above models are suggested for modifications concerning global buckling and full plastic bending capacity.</w:t>
      </w:r>
    </w:p>
    <w:p w14:paraId="62EC5B7C" w14:textId="04AE2498" w:rsidR="00085E06" w:rsidRDefault="00F023ED" w:rsidP="00085E06">
      <w:pPr>
        <w:pStyle w:val="heading2"/>
      </w:pPr>
      <w:r>
        <w:t>Analytical Models of High-Density</w:t>
      </w:r>
      <w:r w:rsidR="00085E06">
        <w:t xml:space="preserve"> PU Foam</w:t>
      </w:r>
      <w:r w:rsidR="00707560">
        <w:t>-</w:t>
      </w:r>
      <w:r w:rsidR="00085E06">
        <w:t>Filled Circular Aluminum Tube</w:t>
      </w:r>
      <w:r>
        <w:t>s</w:t>
      </w:r>
    </w:p>
    <w:p w14:paraId="207E8CE0" w14:textId="77777777" w:rsidR="00085E06" w:rsidRDefault="00085E06" w:rsidP="00085E06"/>
    <w:p w14:paraId="31EF2546" w14:textId="03339666" w:rsidR="00085E06" w:rsidRPr="00085E06" w:rsidRDefault="00707560" w:rsidP="00085E06">
      <w:pPr>
        <w:ind w:firstLine="0"/>
      </w:pPr>
      <w:r>
        <w:t>The a</w:t>
      </w:r>
      <w:r w:rsidR="00085E06" w:rsidRPr="00085E06">
        <w:t>nalytical model for compressive strength is taken from British standard [1</w:t>
      </w:r>
      <w:r w:rsidR="00F66F8C">
        <w:t>3</w:t>
      </w:r>
      <w:r w:rsidR="00085E06" w:rsidRPr="00085E06">
        <w:t>] developed for concrete</w:t>
      </w:r>
      <w:r>
        <w:t>-</w:t>
      </w:r>
      <w:r w:rsidR="00085E06" w:rsidRPr="00085E06">
        <w:t>filled circular aluminum tube</w:t>
      </w:r>
      <w:r>
        <w:t>s</w:t>
      </w:r>
      <w:r w:rsidR="00085E06" w:rsidRPr="00085E06">
        <w:t xml:space="preserve"> consider</w:t>
      </w:r>
      <w:r>
        <w:t>ed</w:t>
      </w:r>
      <w:r w:rsidR="00085E06" w:rsidRPr="00085E06">
        <w:t xml:space="preserve"> as short columns as shown in Eq. 3</w:t>
      </w:r>
      <w:r w:rsidR="00085E06">
        <w:t>.</w:t>
      </w:r>
    </w:p>
    <w:p w14:paraId="3E75B53D" w14:textId="78153B76" w:rsidR="00085E06" w:rsidRPr="0099117B" w:rsidRDefault="00B83CD4" w:rsidP="0099117B">
      <w:pPr>
        <w:pStyle w:val="equation"/>
      </w:pPr>
      <m:oMath>
        <m:r>
          <w:rPr>
            <w:rFonts w:ascii="Cambria Math" w:hAnsi="Cambria Math"/>
          </w:rPr>
          <m:t>P</m:t>
        </m:r>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a</m:t>
            </m:r>
          </m:sub>
        </m:sSub>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m:t>
            </m:r>
            <m:r>
              <w:rPr>
                <w:rFonts w:ascii="Cambria Math" w:hAnsi="Cambria Math"/>
              </w:rPr>
              <m:t>a</m:t>
            </m:r>
          </m:sub>
        </m:sSub>
        <m:r>
          <m:rPr>
            <m:sty m:val="p"/>
          </m:rPr>
          <w:rPr>
            <w:rFonts w:ascii="Cambria Math" w:hAnsi="Cambria Math"/>
          </w:rPr>
          <m:t>+0.8</m:t>
        </m:r>
        <m:sSub>
          <m:sSubPr>
            <m:ctrlPr>
              <w:rPr>
                <w:rFonts w:ascii="Cambria Math" w:hAnsi="Cambria Math"/>
              </w:rPr>
            </m:ctrlPr>
          </m:sSubPr>
          <m:e>
            <m:r>
              <w:rPr>
                <w:rFonts w:ascii="Cambria Math" w:hAnsi="Cambria Math"/>
              </w:rPr>
              <m:t>A</m:t>
            </m:r>
          </m:e>
          <m:sub>
            <m:r>
              <w:rPr>
                <w:rFonts w:ascii="Cambria Math" w:hAnsi="Cambria Math"/>
              </w:rPr>
              <m:t>c</m:t>
            </m:r>
          </m:sub>
        </m:sSub>
        <m:sSub>
          <m:sSubPr>
            <m:ctrlPr>
              <w:rPr>
                <w:rFonts w:ascii="Cambria Math" w:hAnsi="Cambria Math"/>
              </w:rPr>
            </m:ctrlPr>
          </m:sSubPr>
          <m:e>
            <m:r>
              <w:rPr>
                <w:rFonts w:ascii="Cambria Math" w:hAnsi="Cambria Math"/>
              </w:rPr>
              <m:t>f</m:t>
            </m:r>
          </m:e>
          <m:sub>
            <m:r>
              <w:rPr>
                <w:rFonts w:ascii="Cambria Math" w:hAnsi="Cambria Math"/>
              </w:rPr>
              <m:t>ck</m:t>
            </m:r>
          </m:sub>
        </m:sSub>
        <m:r>
          <m:rPr>
            <m:sty m:val="p"/>
          </m:rPr>
          <w:rPr>
            <w:rFonts w:ascii="Cambria Math" w:hAnsi="Cambria Math"/>
          </w:rPr>
          <m:t xml:space="preserve">+ </m:t>
        </m:r>
        <m:r>
          <w:rPr>
            <w:rFonts w:ascii="Cambria Math" w:hAnsi="Cambria Math"/>
          </w:rPr>
          <m:t>η</m:t>
        </m:r>
        <m:sSub>
          <m:sSubPr>
            <m:ctrlPr>
              <w:rPr>
                <w:rFonts w:ascii="Cambria Math" w:hAnsi="Cambria Math"/>
              </w:rPr>
            </m:ctrlPr>
          </m:sSubPr>
          <m:e>
            <m:r>
              <w:rPr>
                <w:rFonts w:ascii="Cambria Math" w:hAnsi="Cambria Math"/>
              </w:rPr>
              <m:t>A</m:t>
            </m:r>
          </m:e>
          <m:sub>
            <m:r>
              <w:rPr>
                <w:rFonts w:ascii="Cambria Math" w:hAnsi="Cambria Math"/>
              </w:rPr>
              <m:t>c</m:t>
            </m:r>
          </m:sub>
        </m:sSub>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m:t>
            </m:r>
            <m:r>
              <w:rPr>
                <w:rFonts w:ascii="Cambria Math" w:hAnsi="Cambria Math"/>
              </w:rPr>
              <m:t>a</m:t>
            </m:r>
          </m:sub>
        </m:sSub>
      </m:oMath>
      <w:r w:rsidR="0099117B">
        <w:t xml:space="preserve">                  </w:t>
      </w:r>
      <w:r w:rsidR="0099117B">
        <w:tab/>
        <w:t>(</w:t>
      </w:r>
      <w:fldSimple w:instr=" SEQ &quot;equation&quot; \n \* MERGEFORMAT ">
        <w:r w:rsidR="00706453">
          <w:rPr>
            <w:noProof/>
          </w:rPr>
          <w:t>3</w:t>
        </w:r>
      </w:fldSimple>
      <w:r w:rsidR="0099117B">
        <w:t>)</w:t>
      </w:r>
    </w:p>
    <w:p w14:paraId="44B6B196" w14:textId="7DD6A55E" w:rsidR="00085E06" w:rsidRPr="0099117B" w:rsidRDefault="0099117B" w:rsidP="0099117B">
      <w:pPr>
        <w:pStyle w:val="equation"/>
      </w:pPr>
      <m:oMath>
        <m:r>
          <w:rPr>
            <w:rFonts w:ascii="Cambria Math" w:hAnsi="Cambria Math"/>
          </w:rPr>
          <m:t>η</m:t>
        </m:r>
        <m:r>
          <m:rPr>
            <m:sty m:val="p"/>
          </m:rPr>
          <w:rPr>
            <w:rFonts w:ascii="Cambria Math" w:hAnsi="Cambria Math"/>
          </w:rPr>
          <m:t>=0.31-0.0055</m:t>
        </m:r>
        <m:d>
          <m:dPr>
            <m:ctrlPr>
              <w:rPr>
                <w:rFonts w:ascii="Cambria Math" w:hAnsi="Cambria Math"/>
              </w:rPr>
            </m:ctrlPr>
          </m:dPr>
          <m:e>
            <m:f>
              <m:fPr>
                <m:ctrlPr>
                  <w:rPr>
                    <w:rFonts w:ascii="Cambria Math" w:hAnsi="Cambria Math"/>
                  </w:rPr>
                </m:ctrlPr>
              </m:fPr>
              <m:num>
                <m:r>
                  <w:rPr>
                    <w:rFonts w:ascii="Cambria Math" w:hAnsi="Cambria Math"/>
                  </w:rPr>
                  <m:t>D</m:t>
                </m:r>
              </m:num>
              <m:den>
                <m:r>
                  <w:rPr>
                    <w:rFonts w:ascii="Cambria Math" w:hAnsi="Cambria Math"/>
                  </w:rPr>
                  <m:t>t</m:t>
                </m:r>
              </m:den>
            </m:f>
          </m:e>
        </m:d>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d>
          <m:dPr>
            <m:ctrlPr>
              <w:rPr>
                <w:rFonts w:ascii="Cambria Math" w:hAnsi="Cambria Math"/>
              </w:rPr>
            </m:ctrlPr>
          </m:dPr>
          <m:e>
            <m:f>
              <m:fPr>
                <m:ctrlPr>
                  <w:rPr>
                    <w:rFonts w:ascii="Cambria Math" w:hAnsi="Cambria Math"/>
                  </w:rPr>
                </m:ctrlPr>
              </m:fPr>
              <m:num>
                <m:r>
                  <w:rPr>
                    <w:rFonts w:ascii="Cambria Math" w:hAnsi="Cambria Math"/>
                  </w:rPr>
                  <m:t>D</m:t>
                </m:r>
              </m:num>
              <m:den>
                <m:r>
                  <w:rPr>
                    <w:rFonts w:ascii="Cambria Math" w:hAnsi="Cambria Math"/>
                  </w:rPr>
                  <m:t>t</m:t>
                </m:r>
              </m:den>
            </m:f>
          </m:e>
        </m:d>
        <m:r>
          <m:rPr>
            <m:sty m:val="p"/>
          </m:rPr>
          <w:rPr>
            <w:rFonts w:ascii="Cambria Math" w:hAnsi="Cambria Math"/>
          </w:rPr>
          <m:t xml:space="preserve">  ∈</m:t>
        </m:r>
        <m:d>
          <m:dPr>
            <m:ctrlPr>
              <w:rPr>
                <w:rFonts w:ascii="Cambria Math" w:hAnsi="Cambria Math"/>
              </w:rPr>
            </m:ctrlPr>
          </m:dPr>
          <m:e>
            <m:r>
              <m:rPr>
                <m:sty m:val="p"/>
              </m:rPr>
              <w:rPr>
                <w:rFonts w:ascii="Cambria Math" w:hAnsi="Cambria Math"/>
              </w:rPr>
              <m:t>9,50</m:t>
            </m:r>
          </m:e>
        </m:d>
      </m:oMath>
      <w:r>
        <w:tab/>
        <w:t>(</w:t>
      </w:r>
      <w:fldSimple w:instr=" SEQ &quot;equation&quot; \n \* MERGEFORMAT ">
        <w:r w:rsidR="00706453">
          <w:rPr>
            <w:noProof/>
          </w:rPr>
          <w:t>4</w:t>
        </w:r>
      </w:fldSimple>
      <w:r>
        <w:t>)</w:t>
      </w:r>
    </w:p>
    <w:p w14:paraId="2FC7ABD3" w14:textId="4CC67817" w:rsidR="00085E06" w:rsidRPr="0099117B" w:rsidRDefault="00085E06" w:rsidP="00EE5E2F">
      <w:pPr>
        <w:ind w:firstLine="0"/>
      </w:pPr>
      <w:r w:rsidRPr="0099117B">
        <w:t>Where A</w:t>
      </w:r>
      <w:r w:rsidR="00B32872">
        <w:rPr>
          <w:vertAlign w:val="subscript"/>
        </w:rPr>
        <w:t>a</w:t>
      </w:r>
      <w:r w:rsidR="0024433A">
        <w:t xml:space="preserve">, </w:t>
      </w:r>
      <w:r w:rsidR="0024433A" w:rsidRPr="0099117B">
        <w:t>A</w:t>
      </w:r>
      <w:r w:rsidR="00B32872">
        <w:rPr>
          <w:vertAlign w:val="subscript"/>
        </w:rPr>
        <w:t>c</w:t>
      </w:r>
      <w:r w:rsidR="0024433A">
        <w:t xml:space="preserve">, </w:t>
      </w:r>
      <w:proofErr w:type="spellStart"/>
      <w:r w:rsidR="00B32872" w:rsidRPr="0099117B">
        <w:t>f</w:t>
      </w:r>
      <w:r w:rsidR="00B32872">
        <w:rPr>
          <w:vertAlign w:val="subscript"/>
        </w:rPr>
        <w:t>ck</w:t>
      </w:r>
      <w:proofErr w:type="spellEnd"/>
      <w:r w:rsidR="00B32872">
        <w:t xml:space="preserve">, </w:t>
      </w:r>
      <w:proofErr w:type="spellStart"/>
      <w:proofErr w:type="gramStart"/>
      <w:r w:rsidR="00B32872" w:rsidRPr="0099117B">
        <w:t>f</w:t>
      </w:r>
      <w:r w:rsidR="00B32872">
        <w:rPr>
          <w:vertAlign w:val="subscript"/>
        </w:rPr>
        <w:t>y,a</w:t>
      </w:r>
      <w:proofErr w:type="spellEnd"/>
      <w:proofErr w:type="gramEnd"/>
      <w:r w:rsidR="00B32872">
        <w:t xml:space="preserve"> and </w:t>
      </w:r>
      <m:oMath>
        <m:r>
          <w:rPr>
            <w:rFonts w:ascii="Cambria Math" w:hAnsi="Cambria Math"/>
          </w:rPr>
          <m:t>η</m:t>
        </m:r>
      </m:oMath>
      <w:r w:rsidR="00B32872">
        <w:t xml:space="preserve"> denotes </w:t>
      </w:r>
      <w:r w:rsidR="00B32872" w:rsidRPr="0099117B">
        <w:t>circular tube</w:t>
      </w:r>
      <w:r w:rsidR="00B32872">
        <w:t xml:space="preserve"> cross</w:t>
      </w:r>
      <w:r w:rsidR="00707560">
        <w:t>-</w:t>
      </w:r>
      <w:r w:rsidR="00B32872">
        <w:t>section area,</w:t>
      </w:r>
      <w:r w:rsidR="00B32872" w:rsidRPr="0099117B">
        <w:t xml:space="preserve"> </w:t>
      </w:r>
      <w:r w:rsidR="00B32872">
        <w:t>infill</w:t>
      </w:r>
      <w:r w:rsidR="00B32872" w:rsidRPr="0099117B">
        <w:t xml:space="preserve"> concrete</w:t>
      </w:r>
      <w:r w:rsidR="00B32872" w:rsidRPr="00B32872">
        <w:t xml:space="preserve"> </w:t>
      </w:r>
      <w:r w:rsidR="00B32872">
        <w:t>cross</w:t>
      </w:r>
      <w:r w:rsidR="00707560">
        <w:t>-</w:t>
      </w:r>
      <w:r w:rsidR="00B32872">
        <w:t>section area</w:t>
      </w:r>
      <w:r w:rsidR="00B32872" w:rsidRPr="0099117B">
        <w:t>, cylinder strength</w:t>
      </w:r>
      <w:r w:rsidR="00B32872">
        <w:t xml:space="preserve"> of concrete, </w:t>
      </w:r>
      <w:r w:rsidR="00B32872" w:rsidRPr="0099117B">
        <w:t>yield stress</w:t>
      </w:r>
      <w:r w:rsidR="00B32872">
        <w:t xml:space="preserve"> of aluminum</w:t>
      </w:r>
      <w:r w:rsidR="00B32872" w:rsidRPr="0099117B">
        <w:t>,</w:t>
      </w:r>
      <w:r w:rsidR="00B32872">
        <w:t xml:space="preserve"> </w:t>
      </w:r>
      <w:r w:rsidR="00B32872">
        <w:rPr>
          <w:rFonts w:eastAsiaTheme="minorEastAsia"/>
        </w:rPr>
        <w:t>and</w:t>
      </w:r>
      <w:r w:rsidR="00B32872" w:rsidRPr="0099117B">
        <w:rPr>
          <w:rFonts w:eastAsiaTheme="minorEastAsia"/>
        </w:rPr>
        <w:t xml:space="preserve"> buckling factor</w:t>
      </w:r>
      <w:r w:rsidR="00B32872">
        <w:rPr>
          <w:rFonts w:eastAsiaTheme="minorEastAsia"/>
        </w:rPr>
        <w:t>, respectively</w:t>
      </w:r>
      <w:r w:rsidRPr="0099117B">
        <w:rPr>
          <w:rFonts w:eastAsiaTheme="minorEastAsia"/>
        </w:rPr>
        <w:t>.</w:t>
      </w:r>
    </w:p>
    <w:p w14:paraId="1A177973" w14:textId="77777777" w:rsidR="00CF7B81" w:rsidRDefault="00CF7B81" w:rsidP="00CF7B81">
      <w:pPr>
        <w:ind w:firstLine="0"/>
      </w:pPr>
    </w:p>
    <w:p w14:paraId="119AE24F" w14:textId="351DFC86" w:rsidR="00EE5E2F" w:rsidRDefault="00085E06" w:rsidP="00CF7B81">
      <w:pPr>
        <w:ind w:firstLine="0"/>
      </w:pPr>
      <w:r w:rsidRPr="0099117B">
        <w:t xml:space="preserve">The equation is well organized and designed to model the compressive </w:t>
      </w:r>
      <w:r w:rsidR="00B32872">
        <w:t>capacity</w:t>
      </w:r>
      <w:r w:rsidRPr="0099117B">
        <w:t xml:space="preserve"> of a concrete-filled aluminum </w:t>
      </w:r>
      <w:r w:rsidR="00B32872">
        <w:t>element</w:t>
      </w:r>
      <w:r w:rsidRPr="0099117B">
        <w:t xml:space="preserve"> by considering both the direct contributions of the aluminum </w:t>
      </w:r>
      <w:r w:rsidR="00B32872">
        <w:t>envelope</w:t>
      </w:r>
      <w:r w:rsidRPr="0099117B">
        <w:t xml:space="preserve"> and the concrete infill, as well as their interaction during buckling. </w:t>
      </w:r>
      <w:r w:rsidR="00707560">
        <w:t>F</w:t>
      </w:r>
      <w:r w:rsidRPr="0099117B">
        <w:t xml:space="preserve">actor 0.8 is a reduction coefficient that accounts for the non-ideal load transfer </w:t>
      </w:r>
      <w:r w:rsidRPr="0099117B">
        <w:lastRenderedPageBreak/>
        <w:t xml:space="preserve">conditions between the concrete and the aluminum tube. And the term </w:t>
      </w:r>
      <m:oMath>
        <m:r>
          <w:rPr>
            <w:rFonts w:ascii="Cambria Math" w:hAnsi="Cambria Math"/>
          </w:rPr>
          <m:t>η</m:t>
        </m:r>
        <m:sSub>
          <m:sSubPr>
            <m:ctrlPr>
              <w:rPr>
                <w:rFonts w:ascii="Cambria Math" w:hAnsi="Cambria Math"/>
                <w:i/>
              </w:rPr>
            </m:ctrlPr>
          </m:sSubPr>
          <m:e>
            <m:r>
              <w:rPr>
                <w:rFonts w:ascii="Cambria Math" w:hAnsi="Cambria Math"/>
              </w:rPr>
              <m:t>A</m:t>
            </m:r>
          </m:e>
          <m:sub>
            <m:r>
              <w:rPr>
                <w:rFonts w:ascii="Cambria Math" w:hAnsi="Cambria Math"/>
              </w:rPr>
              <m:t>c</m:t>
            </m:r>
          </m:sub>
        </m:sSub>
        <m:sSub>
          <m:sSubPr>
            <m:ctrlPr>
              <w:rPr>
                <w:rFonts w:ascii="Cambria Math" w:hAnsi="Cambria Math"/>
                <w:i/>
              </w:rPr>
            </m:ctrlPr>
          </m:sSubPr>
          <m:e>
            <m:r>
              <w:rPr>
                <w:rFonts w:ascii="Cambria Math" w:hAnsi="Cambria Math"/>
              </w:rPr>
              <m:t>f</m:t>
            </m:r>
          </m:e>
          <m:sub>
            <m:r>
              <w:rPr>
                <w:rFonts w:ascii="Cambria Math" w:hAnsi="Cambria Math"/>
              </w:rPr>
              <m:t>y</m:t>
            </m:r>
          </m:sub>
        </m:sSub>
      </m:oMath>
      <w:r w:rsidRPr="0099117B">
        <w:rPr>
          <w:rFonts w:eastAsiaTheme="minorEastAsia"/>
        </w:rPr>
        <w:t xml:space="preserve"> </w:t>
      </w:r>
      <w:r w:rsidRPr="0099117B">
        <w:t>highlights the complex behavior of the composite system under compressive loads, where the aluminum</w:t>
      </w:r>
      <w:r w:rsidR="0099117B" w:rsidRPr="0099117B">
        <w:t>’</w:t>
      </w:r>
      <w:r w:rsidRPr="0099117B">
        <w:t xml:space="preserve">s buckling affects the load transfer to the concrete, </w:t>
      </w:r>
      <w:bookmarkStart w:id="9" w:name="_Toc79503241"/>
      <w:r w:rsidRPr="0099117B">
        <w:t>As the aluminum tube buckles, it interacts with the concrete infill, potentially increasing the effective stress in the concrete due to the confinement provided by the aluminum tube, hence contributing to the overall compressive strength.</w:t>
      </w:r>
      <w:r w:rsidR="00EE5E2F">
        <w:t xml:space="preserve"> </w:t>
      </w:r>
    </w:p>
    <w:p w14:paraId="614DFFC0" w14:textId="5A0F338C" w:rsidR="00085E06" w:rsidRPr="001F461A" w:rsidRDefault="00EE5E2F" w:rsidP="00EE5E2F">
      <w:pPr>
        <w:pStyle w:val="tablecaption"/>
      </w:pPr>
      <w:bookmarkStart w:id="10" w:name="_Ref175235886"/>
      <w:r>
        <w:rPr>
          <w:b/>
        </w:rPr>
        <w:t xml:space="preserve">Table </w:t>
      </w:r>
      <w:r>
        <w:rPr>
          <w:b/>
        </w:rPr>
        <w:fldChar w:fldCharType="begin"/>
      </w:r>
      <w:r>
        <w:rPr>
          <w:b/>
        </w:rPr>
        <w:instrText xml:space="preserve"> SEQ "Table" \* MERGEFORMAT </w:instrText>
      </w:r>
      <w:r>
        <w:rPr>
          <w:b/>
        </w:rPr>
        <w:fldChar w:fldCharType="separate"/>
      </w:r>
      <w:r w:rsidR="00706453">
        <w:rPr>
          <w:b/>
          <w:noProof/>
        </w:rPr>
        <w:t>6</w:t>
      </w:r>
      <w:r>
        <w:rPr>
          <w:b/>
        </w:rPr>
        <w:fldChar w:fldCharType="end"/>
      </w:r>
      <w:bookmarkEnd w:id="10"/>
      <w:r>
        <w:rPr>
          <w:b/>
        </w:rPr>
        <w:t>.</w:t>
      </w:r>
      <w:r>
        <w:t xml:space="preserve"> </w:t>
      </w:r>
      <w:r w:rsidR="00085E06" w:rsidRPr="00EE5E2F">
        <w:t>Mean</w:t>
      </w:r>
      <w:r w:rsidR="00085E06" w:rsidRPr="001F461A">
        <w:t xml:space="preserve"> </w:t>
      </w:r>
      <w:r w:rsidR="00F5580D" w:rsidRPr="001F461A">
        <w:t xml:space="preserve">crushing </w:t>
      </w:r>
      <w:r w:rsidR="00F5580D">
        <w:t xml:space="preserve">strength </w:t>
      </w:r>
      <w:r w:rsidR="00F5580D" w:rsidRPr="001F461A">
        <w:t>of</w:t>
      </w:r>
      <w:r w:rsidR="00F5580D">
        <w:t xml:space="preserve"> PU</w:t>
      </w:r>
      <w:r w:rsidR="00F5580D" w:rsidRPr="001F461A">
        <w:t xml:space="preserve"> foam</w:t>
      </w:r>
      <w:r w:rsidR="00707560">
        <w:t>-</w:t>
      </w:r>
      <w:r w:rsidR="00F5580D">
        <w:t>f</w:t>
      </w:r>
      <w:r w:rsidR="00F5580D" w:rsidRPr="001F461A">
        <w:t>illed circular aluminum tubes</w:t>
      </w:r>
      <w:bookmarkEnd w:id="9"/>
    </w:p>
    <w:tbl>
      <w:tblPr>
        <w:tblW w:w="5000" w:type="pct"/>
        <w:jc w:val="center"/>
        <w:tblLook w:val="04A0" w:firstRow="1" w:lastRow="0" w:firstColumn="1" w:lastColumn="0" w:noHBand="0" w:noVBand="1"/>
      </w:tblPr>
      <w:tblGrid>
        <w:gridCol w:w="1126"/>
        <w:gridCol w:w="1128"/>
        <w:gridCol w:w="2720"/>
        <w:gridCol w:w="1944"/>
      </w:tblGrid>
      <w:tr w:rsidR="00085E06" w:rsidRPr="00EE5E2F" w14:paraId="225DEEC8" w14:textId="77777777" w:rsidTr="00EE5E2F">
        <w:trPr>
          <w:trHeight w:val="189"/>
          <w:jc w:val="center"/>
        </w:trPr>
        <w:tc>
          <w:tcPr>
            <w:tcW w:w="814" w:type="pct"/>
            <w:vMerge w:val="restart"/>
            <w:tcBorders>
              <w:top w:val="single" w:sz="8" w:space="0" w:color="auto"/>
            </w:tcBorders>
            <w:shd w:val="clear" w:color="auto" w:fill="auto"/>
            <w:noWrap/>
            <w:vAlign w:val="center"/>
            <w:hideMark/>
          </w:tcPr>
          <w:p w14:paraId="085953AD" w14:textId="77777777" w:rsidR="00085E06" w:rsidRPr="00EE5E2F" w:rsidRDefault="00085E06" w:rsidP="00B83F82">
            <w:pPr>
              <w:jc w:val="center"/>
              <w:rPr>
                <w:sz w:val="18"/>
                <w:szCs w:val="18"/>
              </w:rPr>
            </w:pPr>
            <w:r w:rsidRPr="00EE5E2F">
              <w:rPr>
                <w:sz w:val="18"/>
                <w:szCs w:val="18"/>
              </w:rPr>
              <w:t>D/t</w:t>
            </w:r>
          </w:p>
        </w:tc>
        <w:tc>
          <w:tcPr>
            <w:tcW w:w="815" w:type="pct"/>
            <w:vMerge w:val="restart"/>
            <w:tcBorders>
              <w:top w:val="single" w:sz="8" w:space="0" w:color="auto"/>
            </w:tcBorders>
            <w:shd w:val="clear" w:color="auto" w:fill="auto"/>
            <w:noWrap/>
            <w:vAlign w:val="center"/>
            <w:hideMark/>
          </w:tcPr>
          <w:p w14:paraId="65EBCF0A" w14:textId="77777777" w:rsidR="00085E06" w:rsidRPr="00EE5E2F" w:rsidRDefault="00085E06" w:rsidP="00B83F82">
            <w:pPr>
              <w:jc w:val="center"/>
              <w:rPr>
                <w:sz w:val="18"/>
                <w:szCs w:val="18"/>
              </w:rPr>
            </w:pPr>
            <w:r w:rsidRPr="00EE5E2F">
              <w:rPr>
                <w:sz w:val="18"/>
                <w:szCs w:val="18"/>
              </w:rPr>
              <w:t>L/D</w:t>
            </w:r>
          </w:p>
        </w:tc>
        <w:tc>
          <w:tcPr>
            <w:tcW w:w="3372" w:type="pct"/>
            <w:gridSpan w:val="2"/>
            <w:tcBorders>
              <w:top w:val="single" w:sz="8" w:space="0" w:color="auto"/>
            </w:tcBorders>
            <w:shd w:val="clear" w:color="auto" w:fill="auto"/>
            <w:noWrap/>
            <w:vAlign w:val="center"/>
            <w:hideMark/>
          </w:tcPr>
          <w:p w14:paraId="22729F81" w14:textId="45EBB649" w:rsidR="00085E06" w:rsidRPr="00EE5E2F" w:rsidRDefault="00085E06" w:rsidP="00B83F82">
            <w:pPr>
              <w:jc w:val="center"/>
              <w:rPr>
                <w:sz w:val="18"/>
                <w:szCs w:val="18"/>
              </w:rPr>
            </w:pPr>
            <w:r w:rsidRPr="00EE5E2F">
              <w:rPr>
                <w:sz w:val="18"/>
                <w:szCs w:val="18"/>
              </w:rPr>
              <w:t xml:space="preserve">Mean Crushing </w:t>
            </w:r>
            <w:r w:rsidR="00B32872">
              <w:rPr>
                <w:sz w:val="18"/>
                <w:szCs w:val="18"/>
              </w:rPr>
              <w:t>Strength</w:t>
            </w:r>
            <w:r w:rsidRPr="00EE5E2F">
              <w:rPr>
                <w:sz w:val="18"/>
                <w:szCs w:val="18"/>
              </w:rPr>
              <w:t xml:space="preserve"> (kN)</w:t>
            </w:r>
          </w:p>
        </w:tc>
      </w:tr>
      <w:tr w:rsidR="00085E06" w:rsidRPr="00EE5E2F" w14:paraId="2098B74C" w14:textId="77777777" w:rsidTr="00EE5E2F">
        <w:trPr>
          <w:trHeight w:val="225"/>
          <w:jc w:val="center"/>
        </w:trPr>
        <w:tc>
          <w:tcPr>
            <w:tcW w:w="814" w:type="pct"/>
            <w:vMerge/>
            <w:tcBorders>
              <w:bottom w:val="single" w:sz="8" w:space="0" w:color="auto"/>
            </w:tcBorders>
            <w:vAlign w:val="center"/>
            <w:hideMark/>
          </w:tcPr>
          <w:p w14:paraId="089E3D1C" w14:textId="77777777" w:rsidR="00085E06" w:rsidRPr="00EE5E2F" w:rsidRDefault="00085E06" w:rsidP="00B83F82">
            <w:pPr>
              <w:jc w:val="center"/>
              <w:rPr>
                <w:sz w:val="18"/>
                <w:szCs w:val="18"/>
              </w:rPr>
            </w:pPr>
          </w:p>
        </w:tc>
        <w:tc>
          <w:tcPr>
            <w:tcW w:w="815" w:type="pct"/>
            <w:vMerge/>
            <w:tcBorders>
              <w:bottom w:val="single" w:sz="8" w:space="0" w:color="auto"/>
            </w:tcBorders>
            <w:vAlign w:val="center"/>
            <w:hideMark/>
          </w:tcPr>
          <w:p w14:paraId="399B1578" w14:textId="77777777" w:rsidR="00085E06" w:rsidRPr="00EE5E2F" w:rsidRDefault="00085E06" w:rsidP="00B83F82">
            <w:pPr>
              <w:jc w:val="center"/>
              <w:rPr>
                <w:sz w:val="18"/>
                <w:szCs w:val="18"/>
              </w:rPr>
            </w:pPr>
          </w:p>
        </w:tc>
        <w:tc>
          <w:tcPr>
            <w:tcW w:w="1966" w:type="pct"/>
            <w:tcBorders>
              <w:top w:val="single" w:sz="4" w:space="0" w:color="auto"/>
              <w:bottom w:val="single" w:sz="8" w:space="0" w:color="auto"/>
            </w:tcBorders>
            <w:shd w:val="clear" w:color="auto" w:fill="auto"/>
            <w:noWrap/>
            <w:vAlign w:val="center"/>
            <w:hideMark/>
          </w:tcPr>
          <w:p w14:paraId="0D935C36" w14:textId="77777777" w:rsidR="00085E06" w:rsidRPr="00EE5E2F" w:rsidRDefault="00085E06" w:rsidP="00B83F82">
            <w:pPr>
              <w:jc w:val="center"/>
              <w:rPr>
                <w:sz w:val="18"/>
                <w:szCs w:val="18"/>
              </w:rPr>
            </w:pPr>
            <w:r w:rsidRPr="00EE5E2F">
              <w:rPr>
                <w:sz w:val="18"/>
                <w:szCs w:val="18"/>
              </w:rPr>
              <w:t>Experimental</w:t>
            </w:r>
          </w:p>
        </w:tc>
        <w:tc>
          <w:tcPr>
            <w:tcW w:w="1406" w:type="pct"/>
            <w:tcBorders>
              <w:top w:val="single" w:sz="4" w:space="0" w:color="auto"/>
              <w:bottom w:val="single" w:sz="8" w:space="0" w:color="auto"/>
            </w:tcBorders>
            <w:shd w:val="clear" w:color="auto" w:fill="auto"/>
            <w:noWrap/>
            <w:vAlign w:val="center"/>
            <w:hideMark/>
          </w:tcPr>
          <w:p w14:paraId="69453F42" w14:textId="453B5597" w:rsidR="00085E06" w:rsidRPr="00EE5E2F" w:rsidRDefault="00085E06" w:rsidP="00B83F82">
            <w:pPr>
              <w:jc w:val="center"/>
              <w:rPr>
                <w:sz w:val="18"/>
                <w:szCs w:val="18"/>
              </w:rPr>
            </w:pPr>
            <w:r w:rsidRPr="00EE5E2F">
              <w:rPr>
                <w:sz w:val="18"/>
                <w:szCs w:val="18"/>
              </w:rPr>
              <w:t>Analytical [1</w:t>
            </w:r>
            <w:r w:rsidR="00F66F8C">
              <w:rPr>
                <w:sz w:val="18"/>
                <w:szCs w:val="18"/>
              </w:rPr>
              <w:t>3</w:t>
            </w:r>
            <w:r w:rsidRPr="00EE5E2F">
              <w:rPr>
                <w:sz w:val="18"/>
                <w:szCs w:val="18"/>
              </w:rPr>
              <w:t>]</w:t>
            </w:r>
          </w:p>
        </w:tc>
      </w:tr>
      <w:tr w:rsidR="00085E06" w:rsidRPr="00EE5E2F" w14:paraId="57A6BA80" w14:textId="77777777" w:rsidTr="00EE5E2F">
        <w:trPr>
          <w:trHeight w:val="440"/>
          <w:jc w:val="center"/>
        </w:trPr>
        <w:tc>
          <w:tcPr>
            <w:tcW w:w="814" w:type="pct"/>
            <w:tcBorders>
              <w:top w:val="single" w:sz="8" w:space="0" w:color="auto"/>
            </w:tcBorders>
            <w:shd w:val="clear" w:color="auto" w:fill="auto"/>
            <w:noWrap/>
            <w:vAlign w:val="center"/>
            <w:hideMark/>
          </w:tcPr>
          <w:p w14:paraId="1DBC9CCD" w14:textId="77777777" w:rsidR="00085E06" w:rsidRPr="00EE5E2F" w:rsidRDefault="00085E06" w:rsidP="00B83F82">
            <w:pPr>
              <w:jc w:val="center"/>
              <w:rPr>
                <w:sz w:val="18"/>
                <w:szCs w:val="18"/>
              </w:rPr>
            </w:pPr>
            <w:r w:rsidRPr="00EE5E2F">
              <w:rPr>
                <w:sz w:val="18"/>
                <w:szCs w:val="18"/>
              </w:rPr>
              <w:t>40.2</w:t>
            </w:r>
          </w:p>
        </w:tc>
        <w:tc>
          <w:tcPr>
            <w:tcW w:w="815" w:type="pct"/>
            <w:tcBorders>
              <w:top w:val="single" w:sz="8" w:space="0" w:color="auto"/>
            </w:tcBorders>
            <w:shd w:val="clear" w:color="auto" w:fill="auto"/>
            <w:noWrap/>
            <w:vAlign w:val="center"/>
            <w:hideMark/>
          </w:tcPr>
          <w:p w14:paraId="67D8352B" w14:textId="77777777" w:rsidR="00085E06" w:rsidRPr="00EE5E2F" w:rsidRDefault="00085E06" w:rsidP="00B83F82">
            <w:pPr>
              <w:jc w:val="center"/>
              <w:rPr>
                <w:sz w:val="18"/>
                <w:szCs w:val="18"/>
              </w:rPr>
            </w:pPr>
            <w:r w:rsidRPr="00EE5E2F">
              <w:rPr>
                <w:sz w:val="18"/>
                <w:szCs w:val="18"/>
              </w:rPr>
              <w:t>3.32</w:t>
            </w:r>
          </w:p>
        </w:tc>
        <w:tc>
          <w:tcPr>
            <w:tcW w:w="1966" w:type="pct"/>
            <w:tcBorders>
              <w:top w:val="single" w:sz="8" w:space="0" w:color="auto"/>
            </w:tcBorders>
            <w:shd w:val="clear" w:color="auto" w:fill="auto"/>
            <w:noWrap/>
            <w:vAlign w:val="center"/>
            <w:hideMark/>
          </w:tcPr>
          <w:p w14:paraId="6C7CA482" w14:textId="77777777" w:rsidR="00085E06" w:rsidRPr="00EE5E2F" w:rsidRDefault="00085E06" w:rsidP="00B83F82">
            <w:pPr>
              <w:jc w:val="center"/>
              <w:rPr>
                <w:sz w:val="18"/>
                <w:szCs w:val="18"/>
              </w:rPr>
            </w:pPr>
            <w:r w:rsidRPr="00EE5E2F">
              <w:rPr>
                <w:sz w:val="18"/>
                <w:szCs w:val="18"/>
              </w:rPr>
              <w:t>46.77</w:t>
            </w:r>
          </w:p>
        </w:tc>
        <w:tc>
          <w:tcPr>
            <w:tcW w:w="1406" w:type="pct"/>
            <w:tcBorders>
              <w:top w:val="single" w:sz="8" w:space="0" w:color="auto"/>
            </w:tcBorders>
            <w:shd w:val="clear" w:color="auto" w:fill="auto"/>
            <w:noWrap/>
            <w:vAlign w:val="center"/>
            <w:hideMark/>
          </w:tcPr>
          <w:p w14:paraId="04C01308" w14:textId="77777777" w:rsidR="00085E06" w:rsidRPr="00EE5E2F" w:rsidRDefault="00085E06" w:rsidP="00B83F82">
            <w:pPr>
              <w:jc w:val="center"/>
              <w:rPr>
                <w:sz w:val="18"/>
                <w:szCs w:val="18"/>
              </w:rPr>
            </w:pPr>
            <w:r w:rsidRPr="00EE5E2F">
              <w:rPr>
                <w:sz w:val="18"/>
                <w:szCs w:val="18"/>
              </w:rPr>
              <w:t>46.42</w:t>
            </w:r>
          </w:p>
        </w:tc>
      </w:tr>
      <w:tr w:rsidR="00085E06" w:rsidRPr="00EE5E2F" w14:paraId="378E3462" w14:textId="77777777" w:rsidTr="00EE5E2F">
        <w:trPr>
          <w:trHeight w:val="179"/>
          <w:jc w:val="center"/>
        </w:trPr>
        <w:tc>
          <w:tcPr>
            <w:tcW w:w="814" w:type="pct"/>
            <w:shd w:val="clear" w:color="auto" w:fill="auto"/>
            <w:noWrap/>
            <w:vAlign w:val="center"/>
            <w:hideMark/>
          </w:tcPr>
          <w:p w14:paraId="324D9ADD" w14:textId="77777777" w:rsidR="00085E06" w:rsidRPr="00EE5E2F" w:rsidRDefault="00085E06" w:rsidP="00B83F82">
            <w:pPr>
              <w:jc w:val="center"/>
              <w:rPr>
                <w:sz w:val="18"/>
                <w:szCs w:val="18"/>
              </w:rPr>
            </w:pPr>
            <w:r w:rsidRPr="00EE5E2F">
              <w:rPr>
                <w:sz w:val="18"/>
                <w:szCs w:val="18"/>
              </w:rPr>
              <w:t>30.15</w:t>
            </w:r>
          </w:p>
        </w:tc>
        <w:tc>
          <w:tcPr>
            <w:tcW w:w="815" w:type="pct"/>
            <w:shd w:val="clear" w:color="auto" w:fill="auto"/>
            <w:noWrap/>
            <w:vAlign w:val="center"/>
            <w:hideMark/>
          </w:tcPr>
          <w:p w14:paraId="663AEC5F" w14:textId="77777777" w:rsidR="00085E06" w:rsidRPr="00EE5E2F" w:rsidRDefault="00085E06" w:rsidP="00B83F82">
            <w:pPr>
              <w:jc w:val="center"/>
              <w:rPr>
                <w:sz w:val="18"/>
                <w:szCs w:val="18"/>
              </w:rPr>
            </w:pPr>
            <w:r w:rsidRPr="00EE5E2F">
              <w:rPr>
                <w:sz w:val="18"/>
                <w:szCs w:val="18"/>
              </w:rPr>
              <w:t>3.32</w:t>
            </w:r>
          </w:p>
        </w:tc>
        <w:tc>
          <w:tcPr>
            <w:tcW w:w="1966" w:type="pct"/>
            <w:shd w:val="clear" w:color="auto" w:fill="auto"/>
            <w:noWrap/>
            <w:vAlign w:val="center"/>
            <w:hideMark/>
          </w:tcPr>
          <w:p w14:paraId="7D8ADB6A" w14:textId="77777777" w:rsidR="00085E06" w:rsidRPr="00EE5E2F" w:rsidRDefault="00085E06" w:rsidP="00B83F82">
            <w:pPr>
              <w:jc w:val="center"/>
              <w:rPr>
                <w:sz w:val="18"/>
                <w:szCs w:val="18"/>
              </w:rPr>
            </w:pPr>
            <w:r w:rsidRPr="00EE5E2F">
              <w:rPr>
                <w:sz w:val="18"/>
                <w:szCs w:val="18"/>
              </w:rPr>
              <w:t>49.10</w:t>
            </w:r>
          </w:p>
        </w:tc>
        <w:tc>
          <w:tcPr>
            <w:tcW w:w="1406" w:type="pct"/>
            <w:shd w:val="clear" w:color="auto" w:fill="auto"/>
            <w:noWrap/>
            <w:vAlign w:val="center"/>
            <w:hideMark/>
          </w:tcPr>
          <w:p w14:paraId="531068B8" w14:textId="77777777" w:rsidR="00085E06" w:rsidRPr="00EE5E2F" w:rsidRDefault="00085E06" w:rsidP="00B83F82">
            <w:pPr>
              <w:jc w:val="center"/>
              <w:rPr>
                <w:sz w:val="18"/>
                <w:szCs w:val="18"/>
              </w:rPr>
            </w:pPr>
            <w:r w:rsidRPr="00EE5E2F">
              <w:rPr>
                <w:sz w:val="18"/>
                <w:szCs w:val="18"/>
              </w:rPr>
              <w:t>55.81</w:t>
            </w:r>
          </w:p>
        </w:tc>
      </w:tr>
      <w:tr w:rsidR="00085E06" w:rsidRPr="00EE5E2F" w14:paraId="570C3364" w14:textId="77777777" w:rsidTr="00EE5E2F">
        <w:trPr>
          <w:trHeight w:val="179"/>
          <w:jc w:val="center"/>
        </w:trPr>
        <w:tc>
          <w:tcPr>
            <w:tcW w:w="814" w:type="pct"/>
            <w:shd w:val="clear" w:color="auto" w:fill="auto"/>
            <w:noWrap/>
            <w:vAlign w:val="center"/>
            <w:hideMark/>
          </w:tcPr>
          <w:p w14:paraId="657C6FC3" w14:textId="77777777" w:rsidR="00085E06" w:rsidRPr="00EE5E2F" w:rsidRDefault="00085E06" w:rsidP="00B83F82">
            <w:pPr>
              <w:jc w:val="center"/>
              <w:rPr>
                <w:sz w:val="18"/>
                <w:szCs w:val="18"/>
              </w:rPr>
            </w:pPr>
            <w:r w:rsidRPr="00EE5E2F">
              <w:rPr>
                <w:sz w:val="18"/>
                <w:szCs w:val="18"/>
              </w:rPr>
              <w:t>40.2</w:t>
            </w:r>
          </w:p>
        </w:tc>
        <w:tc>
          <w:tcPr>
            <w:tcW w:w="815" w:type="pct"/>
            <w:shd w:val="clear" w:color="auto" w:fill="auto"/>
            <w:noWrap/>
            <w:vAlign w:val="center"/>
            <w:hideMark/>
          </w:tcPr>
          <w:p w14:paraId="71D875B6" w14:textId="77777777" w:rsidR="00085E06" w:rsidRPr="00EE5E2F" w:rsidRDefault="00085E06" w:rsidP="00B83F82">
            <w:pPr>
              <w:jc w:val="center"/>
              <w:rPr>
                <w:sz w:val="18"/>
                <w:szCs w:val="18"/>
              </w:rPr>
            </w:pPr>
            <w:r w:rsidRPr="00EE5E2F">
              <w:rPr>
                <w:sz w:val="18"/>
                <w:szCs w:val="18"/>
              </w:rPr>
              <w:t>4.98</w:t>
            </w:r>
          </w:p>
        </w:tc>
        <w:tc>
          <w:tcPr>
            <w:tcW w:w="1966" w:type="pct"/>
            <w:shd w:val="clear" w:color="auto" w:fill="auto"/>
            <w:noWrap/>
            <w:vAlign w:val="center"/>
            <w:hideMark/>
          </w:tcPr>
          <w:p w14:paraId="1828BA36" w14:textId="77777777" w:rsidR="00085E06" w:rsidRPr="00EE5E2F" w:rsidRDefault="00085E06" w:rsidP="00B83F82">
            <w:pPr>
              <w:jc w:val="center"/>
              <w:rPr>
                <w:sz w:val="18"/>
                <w:szCs w:val="18"/>
              </w:rPr>
            </w:pPr>
            <w:r w:rsidRPr="00EE5E2F">
              <w:rPr>
                <w:sz w:val="18"/>
                <w:szCs w:val="18"/>
              </w:rPr>
              <w:t>45.37</w:t>
            </w:r>
          </w:p>
        </w:tc>
        <w:tc>
          <w:tcPr>
            <w:tcW w:w="1406" w:type="pct"/>
            <w:shd w:val="clear" w:color="auto" w:fill="auto"/>
            <w:noWrap/>
            <w:vAlign w:val="center"/>
            <w:hideMark/>
          </w:tcPr>
          <w:p w14:paraId="6D7C5D17" w14:textId="77777777" w:rsidR="00085E06" w:rsidRPr="00EE5E2F" w:rsidRDefault="00085E06" w:rsidP="00B83F82">
            <w:pPr>
              <w:jc w:val="center"/>
              <w:rPr>
                <w:sz w:val="18"/>
                <w:szCs w:val="18"/>
              </w:rPr>
            </w:pPr>
            <w:r w:rsidRPr="00EE5E2F">
              <w:rPr>
                <w:sz w:val="18"/>
                <w:szCs w:val="18"/>
              </w:rPr>
              <w:t>46.42</w:t>
            </w:r>
          </w:p>
        </w:tc>
      </w:tr>
      <w:tr w:rsidR="00085E06" w:rsidRPr="00EE5E2F" w14:paraId="73582E32" w14:textId="77777777" w:rsidTr="00EE5E2F">
        <w:trPr>
          <w:trHeight w:val="377"/>
          <w:jc w:val="center"/>
        </w:trPr>
        <w:tc>
          <w:tcPr>
            <w:tcW w:w="814" w:type="pct"/>
            <w:tcBorders>
              <w:bottom w:val="single" w:sz="8" w:space="0" w:color="auto"/>
            </w:tcBorders>
            <w:shd w:val="clear" w:color="auto" w:fill="auto"/>
            <w:noWrap/>
            <w:vAlign w:val="center"/>
            <w:hideMark/>
          </w:tcPr>
          <w:p w14:paraId="0A1C5CDF" w14:textId="77777777" w:rsidR="00085E06" w:rsidRPr="00EE5E2F" w:rsidRDefault="00085E06" w:rsidP="00B83F82">
            <w:pPr>
              <w:jc w:val="center"/>
              <w:rPr>
                <w:sz w:val="18"/>
                <w:szCs w:val="18"/>
              </w:rPr>
            </w:pPr>
            <w:r w:rsidRPr="00EE5E2F">
              <w:rPr>
                <w:sz w:val="18"/>
                <w:szCs w:val="18"/>
              </w:rPr>
              <w:t>30.15</w:t>
            </w:r>
          </w:p>
        </w:tc>
        <w:tc>
          <w:tcPr>
            <w:tcW w:w="815" w:type="pct"/>
            <w:tcBorders>
              <w:bottom w:val="single" w:sz="8" w:space="0" w:color="auto"/>
            </w:tcBorders>
            <w:shd w:val="clear" w:color="auto" w:fill="auto"/>
            <w:noWrap/>
            <w:vAlign w:val="center"/>
            <w:hideMark/>
          </w:tcPr>
          <w:p w14:paraId="7D238CCF" w14:textId="77777777" w:rsidR="00085E06" w:rsidRPr="00EE5E2F" w:rsidRDefault="00085E06" w:rsidP="00B83F82">
            <w:pPr>
              <w:jc w:val="center"/>
              <w:rPr>
                <w:sz w:val="18"/>
                <w:szCs w:val="18"/>
              </w:rPr>
            </w:pPr>
            <w:r w:rsidRPr="00EE5E2F">
              <w:rPr>
                <w:sz w:val="18"/>
                <w:szCs w:val="18"/>
              </w:rPr>
              <w:t>4.98</w:t>
            </w:r>
          </w:p>
        </w:tc>
        <w:tc>
          <w:tcPr>
            <w:tcW w:w="1966" w:type="pct"/>
            <w:tcBorders>
              <w:bottom w:val="single" w:sz="8" w:space="0" w:color="auto"/>
            </w:tcBorders>
            <w:shd w:val="clear" w:color="auto" w:fill="auto"/>
            <w:noWrap/>
            <w:vAlign w:val="center"/>
            <w:hideMark/>
          </w:tcPr>
          <w:p w14:paraId="57DDCB12" w14:textId="77777777" w:rsidR="00085E06" w:rsidRPr="00EE5E2F" w:rsidRDefault="00085E06" w:rsidP="00B83F82">
            <w:pPr>
              <w:jc w:val="center"/>
              <w:rPr>
                <w:sz w:val="18"/>
                <w:szCs w:val="18"/>
              </w:rPr>
            </w:pPr>
            <w:r w:rsidRPr="00EE5E2F">
              <w:rPr>
                <w:sz w:val="18"/>
                <w:szCs w:val="18"/>
              </w:rPr>
              <w:t>47.63</w:t>
            </w:r>
          </w:p>
        </w:tc>
        <w:tc>
          <w:tcPr>
            <w:tcW w:w="1406" w:type="pct"/>
            <w:tcBorders>
              <w:bottom w:val="single" w:sz="8" w:space="0" w:color="auto"/>
            </w:tcBorders>
            <w:shd w:val="clear" w:color="auto" w:fill="auto"/>
            <w:noWrap/>
            <w:vAlign w:val="center"/>
            <w:hideMark/>
          </w:tcPr>
          <w:p w14:paraId="72C464B3" w14:textId="77777777" w:rsidR="00085E06" w:rsidRPr="00EE5E2F" w:rsidRDefault="00085E06" w:rsidP="00B83F82">
            <w:pPr>
              <w:jc w:val="center"/>
              <w:rPr>
                <w:sz w:val="18"/>
                <w:szCs w:val="18"/>
              </w:rPr>
            </w:pPr>
            <w:r w:rsidRPr="00EE5E2F">
              <w:rPr>
                <w:sz w:val="18"/>
                <w:szCs w:val="18"/>
              </w:rPr>
              <w:t>55.81</w:t>
            </w:r>
          </w:p>
        </w:tc>
      </w:tr>
    </w:tbl>
    <w:p w14:paraId="18F12815" w14:textId="77777777" w:rsidR="00085E06" w:rsidRDefault="00085E06" w:rsidP="00085E06"/>
    <w:p w14:paraId="769B611A" w14:textId="0FC7AE1A" w:rsidR="00085E06" w:rsidRPr="00EE5E2F" w:rsidRDefault="00F301FE" w:rsidP="00F301FE">
      <w:r>
        <w:t xml:space="preserve">The experimental specimen’s compressive strength has </w:t>
      </w:r>
      <w:r w:rsidR="00707560">
        <w:t>been </w:t>
      </w:r>
      <w:r>
        <w:t xml:space="preserve">computed using </w:t>
      </w:r>
      <w:r w:rsidR="00707560">
        <w:t>the </w:t>
      </w:r>
      <w:r>
        <w:t xml:space="preserve">same physical properties and compared in </w:t>
      </w:r>
      <w:r>
        <w:fldChar w:fldCharType="begin"/>
      </w:r>
      <w:r>
        <w:instrText xml:space="preserve"> REF _Ref175235886 \h </w:instrText>
      </w:r>
      <w:r>
        <w:fldChar w:fldCharType="separate"/>
      </w:r>
      <w:r w:rsidR="00706453">
        <w:rPr>
          <w:b/>
        </w:rPr>
        <w:t xml:space="preserve">Table </w:t>
      </w:r>
      <w:r w:rsidR="00706453">
        <w:rPr>
          <w:b/>
          <w:noProof/>
        </w:rPr>
        <w:t>6</w:t>
      </w:r>
      <w:r>
        <w:fldChar w:fldCharType="end"/>
      </w:r>
      <w:r>
        <w:t xml:space="preserve">. </w:t>
      </w:r>
      <w:r w:rsidR="00085E06" w:rsidRPr="00EE5E2F">
        <w:t xml:space="preserve">They are accurate for </w:t>
      </w:r>
      <w:r w:rsidR="00707560">
        <w:t>a </w:t>
      </w:r>
      <w:r w:rsidR="00085E06" w:rsidRPr="00EE5E2F">
        <w:t xml:space="preserve">D/t ratio of 40.2, but for </w:t>
      </w:r>
      <w:r w:rsidR="00707560">
        <w:t>a </w:t>
      </w:r>
      <w:r w:rsidR="00085E06" w:rsidRPr="00EE5E2F">
        <w:t>D/t ratio of 30.15, the values are overestimated. Although this model also ignores L/</w:t>
      </w:r>
      <w:r w:rsidR="00841990">
        <w:t>D</w:t>
      </w:r>
      <w:r w:rsidR="00085E06" w:rsidRPr="00EE5E2F">
        <w:t xml:space="preserve"> effects, incorporat</w:t>
      </w:r>
      <w:r w:rsidR="00B32872">
        <w:t>ing only</w:t>
      </w:r>
      <w:r w:rsidR="00085E06" w:rsidRPr="00EE5E2F">
        <w:t xml:space="preserve"> local buckling effects</w:t>
      </w:r>
      <w:r w:rsidR="00EE5E2F">
        <w:t xml:space="preserve"> utilizing </w:t>
      </w:r>
      <w:r w:rsidR="00707560">
        <w:t>the </w:t>
      </w:r>
      <w:r w:rsidR="00EE5E2F">
        <w:t>D/t ratio (refer Eq. 4)</w:t>
      </w:r>
      <w:r w:rsidR="00085E06" w:rsidRPr="00EE5E2F">
        <w:t xml:space="preserve">. Therefore, it is recommended to incorporate the global buckling </w:t>
      </w:r>
      <w:r>
        <w:t xml:space="preserve">also for </w:t>
      </w:r>
      <w:r w:rsidRPr="00EE5E2F">
        <w:t>high</w:t>
      </w:r>
      <w:r w:rsidR="00707560">
        <w:t>-</w:t>
      </w:r>
      <w:r w:rsidRPr="00EE5E2F">
        <w:t>density PU foam</w:t>
      </w:r>
      <w:r w:rsidR="00707560">
        <w:t>-</w:t>
      </w:r>
      <w:r w:rsidRPr="00EE5E2F">
        <w:t>filled tubes</w:t>
      </w:r>
      <w:r>
        <w:t xml:space="preserve"> as short columns</w:t>
      </w:r>
      <w:r w:rsidR="00085E06" w:rsidRPr="00EE5E2F">
        <w:t xml:space="preserve">. </w:t>
      </w:r>
    </w:p>
    <w:p w14:paraId="41E91A7B" w14:textId="670BA0D1" w:rsidR="00B83F82" w:rsidRDefault="00B83F82" w:rsidP="00B83F82">
      <w:pPr>
        <w:pStyle w:val="heading1"/>
      </w:pPr>
      <w:r>
        <w:t>Empirical Model</w:t>
      </w:r>
      <w:r w:rsidR="00F023ED">
        <w:t xml:space="preserve"> using Machine Learning Algorithms</w:t>
      </w:r>
    </w:p>
    <w:p w14:paraId="26A9BA3A" w14:textId="243EBA55" w:rsidR="00B83F82" w:rsidRPr="00B83F82" w:rsidRDefault="00B83F82" w:rsidP="00B83F82">
      <w:pPr>
        <w:pStyle w:val="p1a"/>
      </w:pPr>
      <w:r w:rsidRPr="00B83F82">
        <w:t xml:space="preserve">The above study on </w:t>
      </w:r>
      <w:r w:rsidR="00707560">
        <w:t>the </w:t>
      </w:r>
      <w:r w:rsidRPr="00B83F82">
        <w:t>compatibility of utilizing equivalent C</w:t>
      </w:r>
      <w:r w:rsidR="00F66F8C">
        <w:t xml:space="preserve">omposite </w:t>
      </w:r>
      <w:r w:rsidRPr="00B83F82">
        <w:t>F</w:t>
      </w:r>
      <w:r w:rsidR="00F66F8C">
        <w:t xml:space="preserve">illed </w:t>
      </w:r>
      <w:r w:rsidRPr="00B83F82">
        <w:t>T</w:t>
      </w:r>
      <w:r w:rsidR="00F66F8C">
        <w:t>ubes</w:t>
      </w:r>
      <w:r w:rsidRPr="00B83F82">
        <w:t xml:space="preserve"> analytical models showcases the need </w:t>
      </w:r>
      <w:r w:rsidR="00707560">
        <w:t>t</w:t>
      </w:r>
      <w:r w:rsidRPr="00B83F82">
        <w:t>o incorporat</w:t>
      </w:r>
      <w:r w:rsidR="00707560">
        <w:t>e</w:t>
      </w:r>
      <w:r w:rsidRPr="00B83F82">
        <w:t xml:space="preserve"> global buckling criteria for predicting compressive resistance, by </w:t>
      </w:r>
      <w:r w:rsidR="00F66F8C">
        <w:t>hi</w:t>
      </w:r>
      <w:r w:rsidR="00F66F8C" w:rsidRPr="00B83F82">
        <w:t>ghlighting</w:t>
      </w:r>
      <w:r w:rsidRPr="00B83F82">
        <w:t xml:space="preserve"> the limitations of </w:t>
      </w:r>
      <w:r w:rsidR="004B47BC">
        <w:t>t</w:t>
      </w:r>
      <w:r w:rsidRPr="00B83F82">
        <w:t>he analytical and semi</w:t>
      </w:r>
      <w:r w:rsidR="00707560">
        <w:t>-</w:t>
      </w:r>
      <w:r w:rsidRPr="00B83F82">
        <w:t>analytical models.</w:t>
      </w:r>
    </w:p>
    <w:p w14:paraId="5859F8DE" w14:textId="6902D734" w:rsidR="00B83F82" w:rsidRPr="00B83F82" w:rsidRDefault="00B83F82" w:rsidP="00B83F82">
      <w:r w:rsidRPr="00B83F82">
        <w:t xml:space="preserve">Although machine learning models </w:t>
      </w:r>
      <w:r w:rsidR="00F66F8C">
        <w:t xml:space="preserve">are absent </w:t>
      </w:r>
      <w:r w:rsidRPr="00B83F82">
        <w:t xml:space="preserve">specifically for high-density PU foam-filled </w:t>
      </w:r>
      <w:r w:rsidR="00F66F8C" w:rsidRPr="00B83F82">
        <w:t>tubes,</w:t>
      </w:r>
      <w:r w:rsidRPr="00B83F82">
        <w:t xml:space="preserve"> insights can be drawn from studies on composite systems to understand the efficiency of these algorithms. </w:t>
      </w:r>
      <w:r w:rsidRPr="004E0E31">
        <w:t>Xiao et al</w:t>
      </w:r>
      <w:r w:rsidRPr="00B83F82">
        <w:t>. [1</w:t>
      </w:r>
      <w:r w:rsidR="004E0E31">
        <w:t>4</w:t>
      </w:r>
      <w:r w:rsidRPr="00B83F82">
        <w:t>] optimized the crashworthiness of polyurethane foam-filled origami thin-walled tubes, demonstrating that the CHC algorithm significantly improved specific energy absorption and reduced peak crushing force. Naser et al. [1</w:t>
      </w:r>
      <w:r w:rsidR="004E0E31">
        <w:t>5</w:t>
      </w:r>
      <w:r w:rsidRPr="00B83F82">
        <w:t>] applied machine learning, specifically genetic algorithms and gene expression programming, to predict the structural response of concrete-filled steel tubular (CFST) columns, achieving superior accuracy over traditional design codes. Similarly, Kaveh et al. [1</w:t>
      </w:r>
      <w:r w:rsidR="004E0E31">
        <w:t>6</w:t>
      </w:r>
      <w:r w:rsidRPr="00B83F82">
        <w:t>] found that deep learning models outperformed other regression techniques in predicting the buckling load of composite cylinders, despite both techniques show</w:t>
      </w:r>
      <w:r w:rsidR="00707560">
        <w:t>ing</w:t>
      </w:r>
      <w:r w:rsidRPr="00B83F82">
        <w:t xml:space="preserve"> effective predictions. </w:t>
      </w:r>
    </w:p>
    <w:p w14:paraId="0EAD4687" w14:textId="77777777" w:rsidR="00B83F82" w:rsidRDefault="00B83F82" w:rsidP="00B83F82">
      <w:r w:rsidRPr="00B83F82">
        <w:t>Building on these findings, the present study applies non-linear regression analysis with multiple independent variables, leveraging experimental data on compressive strength for PU foam-filled tubes to develop a reliable empirical model.</w:t>
      </w:r>
    </w:p>
    <w:p w14:paraId="28774F68" w14:textId="5C119D69" w:rsidR="004B47BC" w:rsidRDefault="003A50D9" w:rsidP="004B47BC">
      <w:pPr>
        <w:pStyle w:val="heading2"/>
      </w:pPr>
      <w:r>
        <w:lastRenderedPageBreak/>
        <w:t>Framework for Machine Learning (ML) Modelling</w:t>
      </w:r>
    </w:p>
    <w:p w14:paraId="042E22A0" w14:textId="49207BFE" w:rsidR="004B47BC" w:rsidRDefault="004B47BC" w:rsidP="004B47BC">
      <w:pPr>
        <w:pStyle w:val="p1a"/>
      </w:pPr>
      <w:r w:rsidRPr="00A35521">
        <w:t>In the view of objective of the study to develop empirical model for predicting the compressive strength of high-density PU foam</w:t>
      </w:r>
      <w:r w:rsidR="00707560">
        <w:t>-</w:t>
      </w:r>
      <w:r w:rsidRPr="00A35521">
        <w:t xml:space="preserve">filled tubes aligning with existing equivalent models for composite tubes. The </w:t>
      </w:r>
      <w:r w:rsidR="003A50D9">
        <w:t>framework</w:t>
      </w:r>
      <w:r w:rsidRPr="00A35521">
        <w:t xml:space="preserve"> is proposed by integrating experimental investigations with </w:t>
      </w:r>
      <w:r w:rsidR="003A50D9">
        <w:t>ML</w:t>
      </w:r>
      <w:r w:rsidRPr="00A35521">
        <w:t xml:space="preserve"> algorithms, as shown in </w:t>
      </w:r>
      <w:r w:rsidR="00CD36A8">
        <w:fldChar w:fldCharType="begin"/>
      </w:r>
      <w:r w:rsidR="00CD36A8">
        <w:instrText xml:space="preserve"> REF _Ref175729667 \h </w:instrText>
      </w:r>
      <w:r w:rsidR="00CD36A8">
        <w:fldChar w:fldCharType="separate"/>
      </w:r>
      <w:r w:rsidR="00706453">
        <w:rPr>
          <w:b/>
        </w:rPr>
        <w:t xml:space="preserve">Fig. </w:t>
      </w:r>
      <w:r w:rsidR="00706453">
        <w:rPr>
          <w:b/>
          <w:noProof/>
        </w:rPr>
        <w:t>2</w:t>
      </w:r>
      <w:r w:rsidR="00CD36A8">
        <w:fldChar w:fldCharType="end"/>
      </w:r>
      <w:r w:rsidR="003A50D9">
        <w:t>.</w:t>
      </w:r>
      <w:r w:rsidR="004E0E31">
        <w:t xml:space="preserve"> The</w:t>
      </w:r>
      <w:r w:rsidRPr="00A35521">
        <w:t xml:space="preserve"> machine learning algorithms are purely based on the dataset, which is acquired through experimental tests, followed by data preprocessing. The governing parameters</w:t>
      </w:r>
      <w:r w:rsidR="004E0E31">
        <w:t xml:space="preserve"> (</w:t>
      </w:r>
      <w:r w:rsidRPr="00A35521">
        <w:t>independent variables</w:t>
      </w:r>
      <w:r w:rsidR="004E0E31">
        <w:t>)</w:t>
      </w:r>
      <w:r w:rsidRPr="00A35521">
        <w:t xml:space="preserve"> which influence the dependent variables are identified by the correlations, mechanics-based understanding of the </w:t>
      </w:r>
      <w:r w:rsidR="004E0E31">
        <w:t xml:space="preserve">composite </w:t>
      </w:r>
      <w:r w:rsidRPr="00A35521">
        <w:t>system, and by reviewing existing theoretical models.</w:t>
      </w:r>
    </w:p>
    <w:p w14:paraId="78F2FF6E" w14:textId="77777777" w:rsidR="004B47BC" w:rsidRPr="00752E96" w:rsidRDefault="004B47BC" w:rsidP="004B47BC"/>
    <w:p w14:paraId="1D3E1EB7" w14:textId="2207F529" w:rsidR="004B47BC" w:rsidRDefault="003A50D9" w:rsidP="004B47BC">
      <w:pPr>
        <w:jc w:val="center"/>
      </w:pPr>
      <w:r w:rsidRPr="003A50D9">
        <w:rPr>
          <w:noProof/>
        </w:rPr>
        <w:drawing>
          <wp:inline distT="0" distB="0" distL="0" distR="0" wp14:anchorId="2004A504" wp14:editId="3018B541">
            <wp:extent cx="3190461" cy="3657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90461" cy="3657600"/>
                    </a:xfrm>
                    <a:prstGeom prst="rect">
                      <a:avLst/>
                    </a:prstGeom>
                    <a:noFill/>
                    <a:ln>
                      <a:noFill/>
                    </a:ln>
                  </pic:spPr>
                </pic:pic>
              </a:graphicData>
            </a:graphic>
          </wp:inline>
        </w:drawing>
      </w:r>
    </w:p>
    <w:p w14:paraId="732D20C7" w14:textId="06F6D191" w:rsidR="004B47BC" w:rsidRDefault="004B47BC" w:rsidP="004B47BC">
      <w:pPr>
        <w:pStyle w:val="figurecaption"/>
      </w:pPr>
      <w:bookmarkStart w:id="11" w:name="_Ref175729667"/>
      <w:bookmarkStart w:id="12" w:name="_Ref175229072"/>
      <w:r>
        <w:rPr>
          <w:b/>
        </w:rPr>
        <w:t xml:space="preserve">Fig. </w:t>
      </w:r>
      <w:r>
        <w:rPr>
          <w:b/>
        </w:rPr>
        <w:fldChar w:fldCharType="begin"/>
      </w:r>
      <w:r>
        <w:rPr>
          <w:b/>
        </w:rPr>
        <w:instrText xml:space="preserve"> SEQ "Figure" \* MERGEFORMAT </w:instrText>
      </w:r>
      <w:r>
        <w:rPr>
          <w:b/>
        </w:rPr>
        <w:fldChar w:fldCharType="separate"/>
      </w:r>
      <w:r w:rsidR="00706453">
        <w:rPr>
          <w:b/>
          <w:noProof/>
        </w:rPr>
        <w:t>2</w:t>
      </w:r>
      <w:r>
        <w:rPr>
          <w:b/>
        </w:rPr>
        <w:fldChar w:fldCharType="end"/>
      </w:r>
      <w:bookmarkEnd w:id="11"/>
      <w:r>
        <w:rPr>
          <w:b/>
        </w:rPr>
        <w:t>.</w:t>
      </w:r>
      <w:r>
        <w:t xml:space="preserve"> </w:t>
      </w:r>
      <w:r w:rsidR="00104F1C">
        <w:t>F</w:t>
      </w:r>
      <w:r>
        <w:t xml:space="preserve">ramework for </w:t>
      </w:r>
      <w:r w:rsidR="00104F1C">
        <w:t xml:space="preserve">ML </w:t>
      </w:r>
      <w:r w:rsidR="00F5580D">
        <w:t>m</w:t>
      </w:r>
      <w:r w:rsidR="00104F1C">
        <w:t>o</w:t>
      </w:r>
      <w:r>
        <w:t>del</w:t>
      </w:r>
      <w:r w:rsidR="00104F1C">
        <w:t>ling</w:t>
      </w:r>
      <w:bookmarkEnd w:id="12"/>
    </w:p>
    <w:p w14:paraId="254F6B61" w14:textId="02868323" w:rsidR="004B47BC" w:rsidRDefault="004B47BC" w:rsidP="004B47BC">
      <w:pPr>
        <w:ind w:firstLine="0"/>
      </w:pPr>
      <w:r w:rsidRPr="00A35521">
        <w:t xml:space="preserve">The development of empirical models through artificial intelligence can be achieved by using either traditional machine learning algorithms, including regression analysis, random forest, etc., or deep learning algorithms such as </w:t>
      </w:r>
      <w:r w:rsidR="0035698A">
        <w:t>Artificial Neural Networks (</w:t>
      </w:r>
      <w:r w:rsidRPr="00A35521">
        <w:t>ANNs</w:t>
      </w:r>
      <w:r w:rsidR="003A50D9">
        <w:t>)</w:t>
      </w:r>
      <w:r w:rsidR="003A50D9" w:rsidRPr="00A35521">
        <w:t>.</w:t>
      </w:r>
      <w:r w:rsidR="003A50D9">
        <w:t xml:space="preserve"> The</w:t>
      </w:r>
      <w:r w:rsidRPr="00A35521">
        <w:t xml:space="preserve"> datasets are divided into training, validation, and testing data. Initially, the model is trained utilizing both dependent and independent variables, followed by the tuning of hyperparameters through validation. Further, the tuned model is tested with independent variables from the testing dataset, and the statistical indices are </w:t>
      </w:r>
      <w:r w:rsidRPr="00A35521">
        <w:lastRenderedPageBreak/>
        <w:t>computed concerning both the actual and predicted values of dependent variables to evaluate the performance of the model.</w:t>
      </w:r>
      <w:r w:rsidR="00CD25F0">
        <w:t xml:space="preserve"> </w:t>
      </w:r>
      <w:r w:rsidRPr="00A35521">
        <w:t>However, the selection of artificial intelligence algorithms is based on the quality of the dataset and the requirements of the empirical model.</w:t>
      </w:r>
      <w:r w:rsidR="00CD25F0">
        <w:t xml:space="preserve"> </w:t>
      </w:r>
    </w:p>
    <w:p w14:paraId="72D73017" w14:textId="46ADD322" w:rsidR="004B47BC" w:rsidRDefault="004B47BC" w:rsidP="00F40E41">
      <w:r>
        <w:t xml:space="preserve">For the present study, regression analysis is utilized </w:t>
      </w:r>
      <w:r w:rsidR="00071371">
        <w:t>through MATLAB</w:t>
      </w:r>
      <w:r w:rsidR="00F40E41">
        <w:t xml:space="preserve"> (version R24</w:t>
      </w:r>
      <w:r w:rsidR="00706453">
        <w:t>b</w:t>
      </w:r>
      <w:r w:rsidR="00F40E41">
        <w:t>, 2024)</w:t>
      </w:r>
      <w:r w:rsidR="00071371">
        <w:t xml:space="preserve"> software </w:t>
      </w:r>
      <w:r>
        <w:t xml:space="preserve">to develop the empirical equation for predicting the compressive resistance of the high-density PU foam-filled </w:t>
      </w:r>
      <w:r w:rsidR="00071371">
        <w:t>tubes. Despite</w:t>
      </w:r>
      <w:r>
        <w:t xml:space="preserve"> </w:t>
      </w:r>
      <w:r w:rsidR="00071371">
        <w:t>the limitations of the data</w:t>
      </w:r>
      <w:r w:rsidR="00707560">
        <w:t xml:space="preserve"> </w:t>
      </w:r>
      <w:r w:rsidR="00071371">
        <w:t>points</w:t>
      </w:r>
      <w:r>
        <w:t>, a pioneer study has been carried out to provide design guidelines for construction practices.</w:t>
      </w:r>
      <w:r w:rsidR="00CD25F0">
        <w:t xml:space="preserve"> </w:t>
      </w:r>
      <w:r w:rsidR="00707560">
        <w:t>The c</w:t>
      </w:r>
      <w:r w:rsidR="00CD25F0">
        <w:t>oefficient of determination (R</w:t>
      </w:r>
      <w:r w:rsidR="00CD25F0">
        <w:rPr>
          <w:vertAlign w:val="superscript"/>
        </w:rPr>
        <w:t>2</w:t>
      </w:r>
      <w:r w:rsidR="00CD25F0">
        <w:t xml:space="preserve">) is utilized as </w:t>
      </w:r>
      <w:r w:rsidR="00707560">
        <w:t>a </w:t>
      </w:r>
      <w:r w:rsidR="00CD25F0">
        <w:t>statistical ind</w:t>
      </w:r>
      <w:r w:rsidR="00817CE1">
        <w:t xml:space="preserve">ex (refer </w:t>
      </w:r>
      <w:r w:rsidR="00707560">
        <w:t>to </w:t>
      </w:r>
      <w:r w:rsidR="00817CE1">
        <w:t xml:space="preserve">Eq. 5) </w:t>
      </w:r>
      <w:r w:rsidR="00CD25F0">
        <w:t xml:space="preserve">to evaluate </w:t>
      </w:r>
      <w:r w:rsidR="00F5461D">
        <w:t>the performance</w:t>
      </w:r>
      <w:r w:rsidR="00CD25F0">
        <w:t xml:space="preserve"> of the empirical models.</w:t>
      </w:r>
    </w:p>
    <w:p w14:paraId="60758B94" w14:textId="0D07FA1F" w:rsidR="00817CE1" w:rsidRPr="00817CE1" w:rsidRDefault="00707560" w:rsidP="00817CE1">
      <w:pPr>
        <w:pStyle w:val="equation"/>
        <w:jc w:val="center"/>
      </w:pPr>
      <m:oMath>
        <m:sSup>
          <m:sSupPr>
            <m:ctrlPr>
              <w:rPr>
                <w:rFonts w:ascii="Cambria Math" w:hAnsi="Cambria Math"/>
              </w:rPr>
            </m:ctrlPr>
          </m:sSupPr>
          <m:e>
            <m:r>
              <w:rPr>
                <w:rFonts w:ascii="Cambria Math" w:hAnsi="Cambria Math"/>
              </w:rPr>
              <m:t>R</m:t>
            </m:r>
          </m:e>
          <m:sup>
            <m:r>
              <m:rPr>
                <m:sty m:val="p"/>
              </m:rPr>
              <w:rPr>
                <w:rFonts w:ascii="Cambria Math" w:hAnsi="Cambria Math"/>
              </w:rPr>
              <m:t>2</m:t>
            </m:r>
          </m:sup>
        </m:sSup>
        <m:r>
          <m:rPr>
            <m:sty m:val="p"/>
          </m:rPr>
          <w:rPr>
            <w:rFonts w:ascii="Cambria Math" w:hAnsi="Cambria Math"/>
          </w:rPr>
          <m:t xml:space="preserve">=1- </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ai</m:t>
                        </m:r>
                        <m:r>
                          <m:rPr>
                            <m:sty m:val="p"/>
                          </m:rPr>
                          <w:rPr>
                            <w:rFonts w:ascii="Cambria Math" w:hAnsi="Cambria Math"/>
                          </w:rPr>
                          <m:t xml:space="preserve">- </m:t>
                        </m:r>
                      </m:sub>
                    </m:sSub>
                    <m:sSub>
                      <m:sSubPr>
                        <m:ctrlPr>
                          <w:rPr>
                            <w:rFonts w:ascii="Cambria Math" w:hAnsi="Cambria Math"/>
                          </w:rPr>
                        </m:ctrlPr>
                      </m:sSubPr>
                      <m:e>
                        <m:r>
                          <w:rPr>
                            <w:rFonts w:ascii="Cambria Math" w:hAnsi="Cambria Math"/>
                          </w:rPr>
                          <m:t>y</m:t>
                        </m:r>
                      </m:e>
                      <m:sub>
                        <m:r>
                          <w:rPr>
                            <w:rFonts w:ascii="Cambria Math" w:hAnsi="Cambria Math"/>
                          </w:rPr>
                          <m:t>pi</m:t>
                        </m:r>
                        <m:r>
                          <m:rPr>
                            <m:sty m:val="p"/>
                          </m:rPr>
                          <w:rPr>
                            <w:rFonts w:ascii="Cambria Math" w:hAnsi="Cambria Math"/>
                          </w:rPr>
                          <m:t xml:space="preserve"> </m:t>
                        </m:r>
                      </m:sub>
                    </m:sSub>
                    <m:r>
                      <m:rPr>
                        <m:sty m:val="p"/>
                      </m:rPr>
                      <w:rPr>
                        <w:rFonts w:ascii="Cambria Math" w:hAnsi="Cambria Math"/>
                      </w:rPr>
                      <m:t>)</m:t>
                    </m:r>
                  </m:e>
                  <m:sup>
                    <m:r>
                      <m:rPr>
                        <m:sty m:val="p"/>
                      </m:rPr>
                      <w:rPr>
                        <w:rFonts w:ascii="Cambria Math" w:hAnsi="Cambria Math"/>
                      </w:rPr>
                      <m:t>2</m:t>
                    </m:r>
                  </m:sup>
                </m:sSup>
              </m:e>
            </m:nary>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ai</m:t>
                        </m:r>
                        <m:r>
                          <m:rPr>
                            <m:sty m:val="p"/>
                          </m:rPr>
                          <w:rPr>
                            <w:rFonts w:ascii="Cambria Math" w:hAnsi="Cambria Math"/>
                          </w:rPr>
                          <m:t xml:space="preserve">- </m:t>
                        </m:r>
                      </m:sub>
                    </m:sSub>
                    <m:acc>
                      <m:accPr>
                        <m:chr m:val="̅"/>
                        <m:ctrlPr>
                          <w:rPr>
                            <w:rFonts w:ascii="Cambria Math" w:hAnsi="Cambria Math"/>
                          </w:rPr>
                        </m:ctrlPr>
                      </m:accPr>
                      <m:e>
                        <m:r>
                          <w:rPr>
                            <w:rFonts w:ascii="Cambria Math" w:hAnsi="Cambria Math"/>
                          </w:rPr>
                          <m:t>y</m:t>
                        </m:r>
                      </m:e>
                    </m:acc>
                    <m:r>
                      <m:rPr>
                        <m:sty m:val="p"/>
                      </m:rPr>
                      <w:rPr>
                        <w:rFonts w:ascii="Cambria Math" w:hAnsi="Cambria Math"/>
                      </w:rPr>
                      <m:t>)</m:t>
                    </m:r>
                  </m:e>
                  <m:sup>
                    <m:r>
                      <m:rPr>
                        <m:sty m:val="p"/>
                      </m:rPr>
                      <w:rPr>
                        <w:rFonts w:ascii="Cambria Math" w:hAnsi="Cambria Math"/>
                      </w:rPr>
                      <m:t>2</m:t>
                    </m:r>
                  </m:sup>
                </m:sSup>
              </m:e>
            </m:nary>
          </m:den>
        </m:f>
      </m:oMath>
      <w:r w:rsidR="00817CE1">
        <w:tab/>
        <w:t>(</w:t>
      </w:r>
      <w:fldSimple w:instr=" SEQ &quot;equation&quot; \n \* MERGEFORMAT ">
        <w:r w:rsidR="00706453">
          <w:rPr>
            <w:noProof/>
          </w:rPr>
          <w:t>5</w:t>
        </w:r>
      </w:fldSimple>
      <w:r w:rsidR="00817CE1">
        <w:t>)</w:t>
      </w:r>
    </w:p>
    <w:p w14:paraId="77BB1DDC" w14:textId="2FC9D066" w:rsidR="00817CE1" w:rsidRDefault="00817CE1" w:rsidP="002813C0">
      <w:r>
        <w:t xml:space="preserve">Where, </w:t>
      </w:r>
      <w:r w:rsidRPr="00817CE1">
        <w:t>n: number of data points</w:t>
      </w:r>
      <w:r w:rsidR="002813C0">
        <w:t xml:space="preserve">, </w:t>
      </w:r>
      <m:oMath>
        <m:sSub>
          <m:sSubPr>
            <m:ctrlPr>
              <w:rPr>
                <w:rFonts w:ascii="Cambria Math" w:hAnsi="Cambria Math"/>
              </w:rPr>
            </m:ctrlPr>
          </m:sSubPr>
          <m:e>
            <m:r>
              <w:rPr>
                <w:rFonts w:ascii="Cambria Math" w:hAnsi="Cambria Math"/>
              </w:rPr>
              <m:t>y</m:t>
            </m:r>
          </m:e>
          <m:sub>
            <m:r>
              <w:rPr>
                <w:rFonts w:ascii="Cambria Math" w:hAnsi="Cambria Math"/>
              </w:rPr>
              <m:t>ai</m:t>
            </m:r>
            <m:r>
              <m:rPr>
                <m:sty m:val="p"/>
              </m:rPr>
              <w:rPr>
                <w:rFonts w:ascii="Cambria Math" w:hAnsi="Cambria Math"/>
              </w:rPr>
              <m:t xml:space="preserve"> </m:t>
            </m:r>
          </m:sub>
        </m:sSub>
      </m:oMath>
      <w:r w:rsidRPr="00817CE1">
        <w:t>​: actual value</w:t>
      </w:r>
      <w:r w:rsidR="002813C0">
        <w:t>s</w:t>
      </w:r>
      <w:r w:rsidRPr="00817CE1">
        <w:t xml:space="preserve"> of the dependent variable</w:t>
      </w:r>
      <w:r w:rsidR="002813C0">
        <w:t xml:space="preserve">, </w:t>
      </w:r>
      <m:oMath>
        <m:sSub>
          <m:sSubPr>
            <m:ctrlPr>
              <w:rPr>
                <w:rFonts w:ascii="Cambria Math" w:hAnsi="Cambria Math"/>
              </w:rPr>
            </m:ctrlPr>
          </m:sSubPr>
          <m:e>
            <m:r>
              <w:rPr>
                <w:rFonts w:ascii="Cambria Math" w:hAnsi="Cambria Math"/>
              </w:rPr>
              <m:t>y</m:t>
            </m:r>
          </m:e>
          <m:sub>
            <m:r>
              <w:rPr>
                <w:rFonts w:ascii="Cambria Math" w:hAnsi="Cambria Math"/>
              </w:rPr>
              <m:t>pi</m:t>
            </m:r>
            <m:r>
              <m:rPr>
                <m:sty m:val="p"/>
              </m:rPr>
              <w:rPr>
                <w:rFonts w:ascii="Cambria Math" w:hAnsi="Cambria Math"/>
              </w:rPr>
              <m:t xml:space="preserve"> </m:t>
            </m:r>
          </m:sub>
        </m:sSub>
      </m:oMath>
      <w:r w:rsidR="002813C0" w:rsidRPr="00817CE1">
        <w:t xml:space="preserve">​: </w:t>
      </w:r>
      <w:r w:rsidR="002813C0">
        <w:t xml:space="preserve">predicted </w:t>
      </w:r>
      <w:r w:rsidR="002813C0" w:rsidRPr="00817CE1">
        <w:t>value</w:t>
      </w:r>
      <w:r w:rsidR="002813C0">
        <w:t>s</w:t>
      </w:r>
      <w:r w:rsidR="002813C0" w:rsidRPr="00817CE1">
        <w:t xml:space="preserve"> of the dependent variable</w:t>
      </w:r>
      <w:r w:rsidR="002813C0">
        <w:t xml:space="preserve">, </w:t>
      </w:r>
      <m:oMath>
        <m:acc>
          <m:accPr>
            <m:chr m:val="̅"/>
            <m:ctrlPr>
              <w:rPr>
                <w:rFonts w:ascii="Cambria Math" w:hAnsi="Cambria Math"/>
              </w:rPr>
            </m:ctrlPr>
          </m:accPr>
          <m:e>
            <m:r>
              <w:rPr>
                <w:rFonts w:ascii="Cambria Math" w:hAnsi="Cambria Math"/>
              </w:rPr>
              <m:t>y</m:t>
            </m:r>
          </m:e>
        </m:acc>
      </m:oMath>
      <w:r w:rsidRPr="00817CE1">
        <w:t>​: mean of the actual values of the dependent variable.</w:t>
      </w:r>
    </w:p>
    <w:p w14:paraId="0E9C172A" w14:textId="41851847" w:rsidR="003A50D9" w:rsidRDefault="003A50D9" w:rsidP="00B83F82">
      <w:pPr>
        <w:pStyle w:val="heading2"/>
      </w:pPr>
      <w:r>
        <w:t>Correlation Analysis</w:t>
      </w:r>
    </w:p>
    <w:p w14:paraId="5108D932" w14:textId="6F2A0D0D" w:rsidR="00F023ED" w:rsidRDefault="009051CE" w:rsidP="00F023ED">
      <w:pPr>
        <w:pStyle w:val="p1a"/>
      </w:pPr>
      <w:r>
        <w:t xml:space="preserve">Based on the raw data provided in Table 2 from the experimental investigations (refer to Section 2), a correlation analysis was conducted for both empty and high-density PU foam-filled aluminum circular tubes. The correlation matrix, as shown in </w:t>
      </w:r>
      <w:r w:rsidR="00CD36A8">
        <w:fldChar w:fldCharType="begin"/>
      </w:r>
      <w:r w:rsidR="00CD36A8">
        <w:instrText xml:space="preserve"> REF _Ref175729676 \h </w:instrText>
      </w:r>
      <w:r w:rsidR="00CD36A8">
        <w:fldChar w:fldCharType="separate"/>
      </w:r>
      <w:r w:rsidR="00706453">
        <w:rPr>
          <w:b/>
        </w:rPr>
        <w:t xml:space="preserve">Fig. </w:t>
      </w:r>
      <w:r w:rsidR="00706453">
        <w:rPr>
          <w:b/>
          <w:noProof/>
        </w:rPr>
        <w:t>3</w:t>
      </w:r>
      <w:r w:rsidR="00CD36A8">
        <w:fldChar w:fldCharType="end"/>
      </w:r>
      <w:r>
        <w:t>, highlights the influence of local buckling (D/t) on compressive resistance, with local buckling having more control than global buckling (L/D). However, the L/D ratio also significantly impacts compressive resistance, suggesting that both D/t and L/D ratios should be considered in machine learning models to account for geometric instability through global and local buckling, respectively.</w:t>
      </w:r>
    </w:p>
    <w:p w14:paraId="0C7A61F9" w14:textId="292B7629" w:rsidR="00470AD0" w:rsidRPr="00CF36CB" w:rsidRDefault="00470AD0" w:rsidP="00470AD0">
      <w:pPr>
        <w:ind w:firstLine="0"/>
        <w:jc w:val="center"/>
      </w:pPr>
      <w:r w:rsidRPr="00470AD0">
        <w:rPr>
          <w:noProof/>
        </w:rPr>
        <w:drawing>
          <wp:inline distT="0" distB="0" distL="0" distR="0" wp14:anchorId="05037446" wp14:editId="48F8A2BD">
            <wp:extent cx="4392930" cy="2199654"/>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92930" cy="2199654"/>
                    </a:xfrm>
                    <a:prstGeom prst="rect">
                      <a:avLst/>
                    </a:prstGeom>
                    <a:noFill/>
                    <a:ln>
                      <a:noFill/>
                    </a:ln>
                  </pic:spPr>
                </pic:pic>
              </a:graphicData>
            </a:graphic>
          </wp:inline>
        </w:drawing>
      </w:r>
    </w:p>
    <w:p w14:paraId="0CCBE180" w14:textId="2786AFE7" w:rsidR="003A50D9" w:rsidRPr="0035698A" w:rsidRDefault="00C17301" w:rsidP="00C17301">
      <w:pPr>
        <w:pStyle w:val="figurecaption"/>
      </w:pPr>
      <w:bookmarkStart w:id="13" w:name="_Ref175729676"/>
      <w:r>
        <w:rPr>
          <w:b/>
        </w:rPr>
        <w:t xml:space="preserve">Fig. </w:t>
      </w:r>
      <w:r>
        <w:rPr>
          <w:b/>
        </w:rPr>
        <w:fldChar w:fldCharType="begin"/>
      </w:r>
      <w:r>
        <w:rPr>
          <w:b/>
        </w:rPr>
        <w:instrText xml:space="preserve"> SEQ "Figure" \* MERGEFORMAT </w:instrText>
      </w:r>
      <w:r>
        <w:rPr>
          <w:b/>
        </w:rPr>
        <w:fldChar w:fldCharType="separate"/>
      </w:r>
      <w:r w:rsidR="00706453">
        <w:rPr>
          <w:b/>
          <w:noProof/>
        </w:rPr>
        <w:t>3</w:t>
      </w:r>
      <w:r>
        <w:rPr>
          <w:b/>
        </w:rPr>
        <w:fldChar w:fldCharType="end"/>
      </w:r>
      <w:bookmarkEnd w:id="13"/>
      <w:r>
        <w:rPr>
          <w:b/>
        </w:rPr>
        <w:t>.</w:t>
      </w:r>
      <w:r>
        <w:t xml:space="preserve"> </w:t>
      </w:r>
      <w:r w:rsidRPr="00C17301">
        <w:t>Correlation</w:t>
      </w:r>
      <w:r>
        <w:t xml:space="preserve"> matrix for</w:t>
      </w:r>
      <w:r w:rsidR="00F023ED">
        <w:t xml:space="preserve"> (a)</w:t>
      </w:r>
      <w:r>
        <w:t xml:space="preserve"> empty </w:t>
      </w:r>
      <w:r w:rsidR="00F023ED">
        <w:t>&amp;</w:t>
      </w:r>
      <w:r>
        <w:t xml:space="preserve"> </w:t>
      </w:r>
      <w:r w:rsidR="00F023ED">
        <w:t xml:space="preserve">(b) </w:t>
      </w:r>
      <w:r>
        <w:t>high-density PU foam</w:t>
      </w:r>
      <w:r w:rsidR="00707560">
        <w:t>-</w:t>
      </w:r>
      <w:r>
        <w:t>filled</w:t>
      </w:r>
      <w:r w:rsidR="003A50D9">
        <w:t xml:space="preserve"> </w:t>
      </w:r>
      <w:r>
        <w:t>aluminum tubes</w:t>
      </w:r>
      <w:r w:rsidR="00707560">
        <w:t>.</w:t>
      </w:r>
    </w:p>
    <w:p w14:paraId="6EB22509" w14:textId="77777777" w:rsidR="009051CE" w:rsidRDefault="009051CE" w:rsidP="009051CE">
      <w:pPr>
        <w:ind w:firstLine="0"/>
      </w:pPr>
      <w:r>
        <w:lastRenderedPageBreak/>
        <w:t>Notably, the correlation analysis indicates that in foam-filled tubes, the influence of local buckling is reduced, allowing for a greater impact of global buckling. This observation aligns with experimental findings, where the foam infill stabilizes the local buckling effects in thin-walled tubes, leading to the development of progressive folds associated with global buckling.</w:t>
      </w:r>
    </w:p>
    <w:p w14:paraId="445CE9FA" w14:textId="42897A10" w:rsidR="00B83F82" w:rsidRDefault="00B83F82" w:rsidP="00B83F82">
      <w:pPr>
        <w:pStyle w:val="heading2"/>
      </w:pPr>
      <w:r>
        <w:t>High</w:t>
      </w:r>
      <w:r w:rsidR="00707560">
        <w:t>-</w:t>
      </w:r>
      <w:r>
        <w:t>density PU Foam Load-Displacement behaviour</w:t>
      </w:r>
    </w:p>
    <w:p w14:paraId="3B88ECF8" w14:textId="2BB09B8B" w:rsidR="00B83F82" w:rsidRDefault="00B83F82" w:rsidP="00B83F82">
      <w:pPr>
        <w:pStyle w:val="p1a"/>
      </w:pPr>
      <w:r>
        <w:t>The load</w:t>
      </w:r>
      <w:r w:rsidR="00B83CD4">
        <w:t xml:space="preserve"> (P)</w:t>
      </w:r>
      <w:r>
        <w:t xml:space="preserve"> displacement </w:t>
      </w:r>
      <w:r w:rsidR="00B83CD4">
        <w:t>(</w:t>
      </w:r>
      <m:oMath>
        <m:r>
          <w:rPr>
            <w:rFonts w:ascii="Cambria Math" w:hAnsi="Cambria Math"/>
          </w:rPr>
          <m:t xml:space="preserve">∆) </m:t>
        </m:r>
      </m:oMath>
      <w:r>
        <w:t xml:space="preserve">behaviour of high-density PU foam is curve fitted through </w:t>
      </w:r>
      <w:r w:rsidR="00B9693B">
        <w:t>linear and</w:t>
      </w:r>
      <w:r>
        <w:t xml:space="preserve"> nonlinear regression analysis</w:t>
      </w:r>
      <w:r w:rsidR="00B9693B">
        <w:t xml:space="preserve"> as shown in </w:t>
      </w:r>
      <w:r w:rsidR="00CD36A8">
        <w:fldChar w:fldCharType="begin"/>
      </w:r>
      <w:r w:rsidR="00CD36A8">
        <w:instrText xml:space="preserve"> REF _Ref175729686 \h </w:instrText>
      </w:r>
      <w:r w:rsidR="00CD36A8">
        <w:fldChar w:fldCharType="separate"/>
      </w:r>
      <w:r w:rsidR="00706453">
        <w:rPr>
          <w:b/>
        </w:rPr>
        <w:t xml:space="preserve">Fig. </w:t>
      </w:r>
      <w:r w:rsidR="00706453">
        <w:rPr>
          <w:b/>
          <w:noProof/>
        </w:rPr>
        <w:t>4</w:t>
      </w:r>
      <w:r w:rsidR="00CD36A8">
        <w:fldChar w:fldCharType="end"/>
      </w:r>
      <w:r w:rsidR="00B9693B">
        <w:t>,</w:t>
      </w:r>
      <w:r>
        <w:t xml:space="preserve"> with coefficient of determination of 0.</w:t>
      </w:r>
      <w:r w:rsidR="00B9693B">
        <w:t>65 and 0.76, respectively</w:t>
      </w:r>
      <w:r>
        <w:t xml:space="preserve">. The developed </w:t>
      </w:r>
      <w:r w:rsidR="00B9693B">
        <w:t xml:space="preserve">nonlinear </w:t>
      </w:r>
      <w:r>
        <w:t xml:space="preserve">empirical equation </w:t>
      </w:r>
      <w:r w:rsidR="00B9693B">
        <w:t xml:space="preserve">(Eq. </w:t>
      </w:r>
      <w:r w:rsidR="00817CE1">
        <w:t>6</w:t>
      </w:r>
      <w:r w:rsidR="00B9693B">
        <w:t xml:space="preserve">) </w:t>
      </w:r>
      <w:r>
        <w:t xml:space="preserve">can be utilized </w:t>
      </w:r>
      <w:r w:rsidR="00B9693B">
        <w:t xml:space="preserve">to </w:t>
      </w:r>
      <w:r>
        <w:t>predict permissible load corresponding to allowable deflection</w:t>
      </w:r>
      <w:r w:rsidR="00B9693B">
        <w:t>, in a conservative manner</w:t>
      </w:r>
      <w:r>
        <w:t xml:space="preserve">. </w:t>
      </w:r>
    </w:p>
    <w:p w14:paraId="4FEA383F" w14:textId="477429C1" w:rsidR="00B83F82" w:rsidRPr="004B47BC" w:rsidRDefault="00B83F82" w:rsidP="009F1534">
      <w:pPr>
        <w:pStyle w:val="equation"/>
        <w:rPr>
          <w:rFonts w:eastAsiaTheme="minorEastAsia"/>
        </w:rPr>
      </w:pPr>
      <m:oMath>
        <m:r>
          <w:rPr>
            <w:rFonts w:ascii="Cambria Math" w:hAnsi="Cambria Math"/>
          </w:rPr>
          <m:t>P</m:t>
        </m:r>
        <m:r>
          <m:rPr>
            <m:sty m:val="p"/>
          </m:rPr>
          <w:rPr>
            <w:rFonts w:ascii="Cambria Math" w:hAnsi="Cambria Math"/>
          </w:rPr>
          <m:t>=</m:t>
        </m:r>
        <m:sSub>
          <m:sSubPr>
            <m:ctrlPr>
              <w:rPr>
                <w:rFonts w:ascii="Cambria Math" w:hAnsi="Cambria Math"/>
              </w:rPr>
            </m:ctrlPr>
          </m:sSubPr>
          <m:e>
            <m:r>
              <w:rPr>
                <w:rFonts w:ascii="Cambria Math" w:hAnsi="Cambria Math"/>
              </w:rPr>
              <m:t>K (a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m:t>
        </m:r>
        <m:sSup>
          <m:sSupPr>
            <m:ctrlPr>
              <w:rPr>
                <w:rFonts w:ascii="Cambria Math" w:hAnsi="Cambria Math"/>
              </w:rPr>
            </m:ctrlPr>
          </m:sSupPr>
          <m:e>
            <m:r>
              <w:rPr>
                <w:rFonts w:ascii="Cambria Math" w:hAnsi="Cambria Math"/>
              </w:rPr>
              <m:t>∆</m:t>
            </m:r>
            <m:r>
              <m:rPr>
                <m:sty m:val="p"/>
              </m:rPr>
              <w:rPr>
                <w:rFonts w:ascii="Cambria Math" w:hAnsi="Cambria Math"/>
              </w:rPr>
              <m:t>)</m:t>
            </m:r>
          </m:e>
          <m:sup>
            <m:r>
              <m:rPr>
                <m:sty m:val="p"/>
              </m:rPr>
              <w:rPr>
                <w:rFonts w:ascii="Cambria Math" w:hAnsi="Cambria Math"/>
              </w:rPr>
              <m:t>1</m:t>
            </m:r>
          </m:sup>
        </m:sSup>
        <m: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m:t>
        </m:r>
        <m:sSup>
          <m:sSupPr>
            <m:ctrlPr>
              <w:rPr>
                <w:rFonts w:ascii="Cambria Math" w:hAnsi="Cambria Math"/>
              </w:rPr>
            </m:ctrlPr>
          </m:sSupPr>
          <m:e>
            <m:r>
              <w:rPr>
                <w:rFonts w:ascii="Cambria Math" w:hAnsi="Cambria Math"/>
              </w:rPr>
              <m:t>∆</m:t>
            </m:r>
            <m:r>
              <m:rPr>
                <m:sty m:val="p"/>
              </m:rPr>
              <w:rPr>
                <w:rFonts w:ascii="Cambria Math" w:hAnsi="Cambria Math"/>
              </w:rPr>
              <m:t>)</m:t>
            </m:r>
          </m:e>
          <m:sup>
            <m:r>
              <m:rPr>
                <m:sty m:val="p"/>
              </m:rPr>
              <w:rPr>
                <w:rFonts w:ascii="Cambria Math" w:hAnsi="Cambria Math"/>
              </w:rPr>
              <m:t>2</m:t>
            </m:r>
          </m:sup>
        </m:sSup>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m:t>
        </m:r>
        <m:sSup>
          <m:sSupPr>
            <m:ctrlPr>
              <w:rPr>
                <w:rFonts w:ascii="Cambria Math" w:hAnsi="Cambria Math"/>
              </w:rPr>
            </m:ctrlPr>
          </m:sSupPr>
          <m:e>
            <m:r>
              <w:rPr>
                <w:rFonts w:ascii="Cambria Math" w:hAnsi="Cambria Math"/>
              </w:rPr>
              <m:t>∆</m:t>
            </m:r>
            <m:r>
              <m:rPr>
                <m:sty m:val="p"/>
              </m:rPr>
              <w:rPr>
                <w:rFonts w:ascii="Cambria Math" w:hAnsi="Cambria Math"/>
              </w:rPr>
              <m:t>)</m:t>
            </m:r>
          </m:e>
          <m:sup>
            <m:r>
              <m:rPr>
                <m:sty m:val="p"/>
              </m:rPr>
              <w:rPr>
                <w:rFonts w:ascii="Cambria Math" w:hAnsi="Cambria Math"/>
              </w:rPr>
              <m:t>3</m:t>
            </m:r>
          </m:sup>
        </m:sSup>
        <m:r>
          <w:rPr>
            <w:rFonts w:ascii="Cambria Math" w:hAnsi="Cambria Math"/>
          </w:rPr>
          <m:t>)</m:t>
        </m:r>
      </m:oMath>
      <w:r>
        <w:rPr>
          <w:rFonts w:eastAsiaTheme="minorEastAsia"/>
        </w:rPr>
        <w:t xml:space="preserve">  </w:t>
      </w:r>
      <w:r w:rsidR="004B47BC">
        <w:rPr>
          <w:rFonts w:eastAsiaTheme="minorEastAsia"/>
        </w:rPr>
        <w:tab/>
        <w:t>(</w:t>
      </w:r>
      <w:r w:rsidR="004B47BC">
        <w:rPr>
          <w:rFonts w:eastAsiaTheme="minorEastAsia"/>
        </w:rPr>
        <w:fldChar w:fldCharType="begin"/>
      </w:r>
      <w:r w:rsidR="004B47BC">
        <w:rPr>
          <w:rFonts w:eastAsiaTheme="minorEastAsia"/>
        </w:rPr>
        <w:instrText xml:space="preserve"> SEQ "equation" \n \* MERGEFORMAT </w:instrText>
      </w:r>
      <w:r w:rsidR="004B47BC">
        <w:rPr>
          <w:rFonts w:eastAsiaTheme="minorEastAsia"/>
        </w:rPr>
        <w:fldChar w:fldCharType="separate"/>
      </w:r>
      <w:r w:rsidR="00706453">
        <w:rPr>
          <w:rFonts w:eastAsiaTheme="minorEastAsia"/>
          <w:noProof/>
        </w:rPr>
        <w:t>6</w:t>
      </w:r>
      <w:r w:rsidR="004B47BC">
        <w:rPr>
          <w:rFonts w:eastAsiaTheme="minorEastAsia"/>
        </w:rPr>
        <w:fldChar w:fldCharType="end"/>
      </w:r>
      <w:r w:rsidR="004B47BC">
        <w:rPr>
          <w:rFonts w:eastAsiaTheme="minorEastAsia"/>
        </w:rPr>
        <w:t>)</w:t>
      </w:r>
    </w:p>
    <w:p w14:paraId="677CB861" w14:textId="693C9434" w:rsidR="00B83F82" w:rsidRPr="00817CE1" w:rsidRDefault="00B83F82" w:rsidP="009F1534">
      <w:pPr>
        <w:ind w:firstLine="0"/>
      </w:pPr>
      <w:r>
        <w:t>Where, k is axial stiffness (</w:t>
      </w:r>
      <m:oMath>
        <m:r>
          <w:rPr>
            <w:rFonts w:ascii="Cambria Math" w:hAnsi="Cambria Math"/>
          </w:rPr>
          <m:t xml:space="preserve">k= </m:t>
        </m:r>
        <m:f>
          <m:fPr>
            <m:ctrlPr>
              <w:rPr>
                <w:rFonts w:ascii="Cambria Math" w:hAnsi="Cambria Math"/>
                <w:i/>
              </w:rPr>
            </m:ctrlPr>
          </m:fPr>
          <m:num>
            <m:r>
              <w:rPr>
                <w:rFonts w:ascii="Cambria Math" w:hAnsi="Cambria Math"/>
              </w:rPr>
              <m:t>AE</m:t>
            </m:r>
          </m:num>
          <m:den>
            <m:r>
              <w:rPr>
                <w:rFonts w:ascii="Cambria Math" w:hAnsi="Cambria Math"/>
              </w:rPr>
              <m:t>L</m:t>
            </m:r>
          </m:den>
        </m:f>
      </m:oMath>
      <w:r>
        <w:t>)</w:t>
      </w:r>
      <w:r w:rsidR="00D154AF">
        <w:t xml:space="preserve"> and</w:t>
      </w:r>
      <w:r w:rsidR="00D154AF" w:rsidRPr="00817CE1">
        <w:t xml:space="preserve"> regression constants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and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oMath>
      <w:r w:rsidR="00817CE1" w:rsidRPr="00817CE1">
        <w:t xml:space="preserve"> are 0.42, 0.22, -0.02, and 0.05, respectively. </w:t>
      </w:r>
    </w:p>
    <w:p w14:paraId="36BA45DE" w14:textId="77777777" w:rsidR="00B83F82" w:rsidRDefault="00B83F82" w:rsidP="00B83F82"/>
    <w:p w14:paraId="23172D51" w14:textId="13C6F2AF" w:rsidR="00B83F82" w:rsidRDefault="003A50D9" w:rsidP="00B83F82">
      <w:pPr>
        <w:jc w:val="center"/>
      </w:pPr>
      <w:r w:rsidRPr="003A50D9">
        <w:rPr>
          <w:noProof/>
        </w:rPr>
        <w:drawing>
          <wp:inline distT="0" distB="0" distL="0" distR="0" wp14:anchorId="07535C62" wp14:editId="37D3314A">
            <wp:extent cx="3090202" cy="25603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90202" cy="2560320"/>
                    </a:xfrm>
                    <a:prstGeom prst="rect">
                      <a:avLst/>
                    </a:prstGeom>
                    <a:noFill/>
                    <a:ln>
                      <a:noFill/>
                    </a:ln>
                  </pic:spPr>
                </pic:pic>
              </a:graphicData>
            </a:graphic>
          </wp:inline>
        </w:drawing>
      </w:r>
    </w:p>
    <w:p w14:paraId="4B3243D5" w14:textId="23D91631" w:rsidR="00B83F82" w:rsidRDefault="004B47BC" w:rsidP="004B47BC">
      <w:pPr>
        <w:pStyle w:val="figurecaption"/>
      </w:pPr>
      <w:bookmarkStart w:id="14" w:name="_Ref175729686"/>
      <w:r>
        <w:rPr>
          <w:b/>
        </w:rPr>
        <w:t xml:space="preserve">Fig. </w:t>
      </w:r>
      <w:r>
        <w:rPr>
          <w:b/>
        </w:rPr>
        <w:fldChar w:fldCharType="begin"/>
      </w:r>
      <w:r>
        <w:rPr>
          <w:b/>
        </w:rPr>
        <w:instrText xml:space="preserve"> SEQ "Figure" \* MERGEFORMAT </w:instrText>
      </w:r>
      <w:r>
        <w:rPr>
          <w:b/>
        </w:rPr>
        <w:fldChar w:fldCharType="separate"/>
      </w:r>
      <w:r w:rsidR="00706453">
        <w:rPr>
          <w:b/>
          <w:noProof/>
        </w:rPr>
        <w:t>4</w:t>
      </w:r>
      <w:r>
        <w:rPr>
          <w:b/>
        </w:rPr>
        <w:fldChar w:fldCharType="end"/>
      </w:r>
      <w:bookmarkEnd w:id="14"/>
      <w:r>
        <w:rPr>
          <w:b/>
        </w:rPr>
        <w:t>.</w:t>
      </w:r>
      <w:r>
        <w:t xml:space="preserve"> </w:t>
      </w:r>
      <w:r w:rsidR="00B83F82" w:rsidRPr="004B47BC">
        <w:t>The</w:t>
      </w:r>
      <w:r w:rsidR="00B83F82">
        <w:t xml:space="preserve"> Predicted versus actual data sets from regression analysis</w:t>
      </w:r>
    </w:p>
    <w:p w14:paraId="62612030" w14:textId="1DCB2EAF" w:rsidR="00B9693B" w:rsidRPr="00B9693B" w:rsidRDefault="00B9693B" w:rsidP="00B9693B">
      <w:pPr>
        <w:ind w:firstLine="0"/>
      </w:pPr>
      <w:r>
        <w:t xml:space="preserve">The linear curve fitting does not incorporate energy absorption and densification region whereas </w:t>
      </w:r>
      <w:r w:rsidR="00707560">
        <w:t>the </w:t>
      </w:r>
      <w:r>
        <w:t>nonlinear curve fitting approach incorporates elastic and energy absorption regions followed by densification region with a deviation up to 10%.</w:t>
      </w:r>
    </w:p>
    <w:p w14:paraId="431CBB29" w14:textId="68121DB6" w:rsidR="00B83F82" w:rsidRDefault="00CF36CB" w:rsidP="00B83F82">
      <w:pPr>
        <w:pStyle w:val="heading2"/>
      </w:pPr>
      <w:r>
        <w:lastRenderedPageBreak/>
        <w:t>Empirical Model for</w:t>
      </w:r>
      <w:r w:rsidR="00B83F82">
        <w:t xml:space="preserve"> Empty Aluminum </w:t>
      </w:r>
      <w:r>
        <w:t xml:space="preserve">Circular </w:t>
      </w:r>
      <w:r w:rsidR="00B83F82">
        <w:t>Tube</w:t>
      </w:r>
      <w:r>
        <w:t>s</w:t>
      </w:r>
    </w:p>
    <w:p w14:paraId="4044F90C" w14:textId="392D9030" w:rsidR="00B83F82" w:rsidRPr="00B83F82" w:rsidRDefault="00B83F82" w:rsidP="00B83F82">
      <w:pPr>
        <w:ind w:firstLine="0"/>
      </w:pPr>
      <w:r w:rsidRPr="00B83F82">
        <w:t xml:space="preserve">The </w:t>
      </w:r>
      <w:proofErr w:type="spellStart"/>
      <w:r w:rsidRPr="00B83F82">
        <w:t>Abramovicz</w:t>
      </w:r>
      <w:proofErr w:type="spellEnd"/>
      <w:r w:rsidRPr="00B83F82">
        <w:t xml:space="preserve"> &amp; Jones Model [</w:t>
      </w:r>
      <w:r w:rsidR="00104F1C">
        <w:t>8</w:t>
      </w:r>
      <w:r w:rsidRPr="00B83F82">
        <w:t xml:space="preserve">] is modified by replacing flexural capacity at </w:t>
      </w:r>
      <w:r w:rsidR="00707560">
        <w:t>the </w:t>
      </w:r>
      <w:r w:rsidRPr="00B83F82">
        <w:t>elastoplastic region with plastic flexural capacity (refer Eq.</w:t>
      </w:r>
      <w:r w:rsidR="00817CE1">
        <w:t xml:space="preserve"> 8</w:t>
      </w:r>
      <w:r w:rsidRPr="00B83F82">
        <w:t>) utilizing plastic section modulus</w:t>
      </w:r>
      <w:r w:rsidR="00B83CD4">
        <w:t xml:space="preserve"> (</w:t>
      </w:r>
      <w:proofErr w:type="spellStart"/>
      <w:r w:rsidR="00B83CD4">
        <w:t>Z</w:t>
      </w:r>
      <w:r w:rsidR="00B83CD4">
        <w:rPr>
          <w:vertAlign w:val="subscript"/>
        </w:rPr>
        <w:t>p</w:t>
      </w:r>
      <w:proofErr w:type="spellEnd"/>
      <w:r w:rsidR="00B83CD4">
        <w:t>)</w:t>
      </w:r>
      <w:r w:rsidRPr="00B83F82">
        <w:t xml:space="preserve"> of hollow tubes (refer Eq.</w:t>
      </w:r>
      <w:r w:rsidR="00817CE1">
        <w:t xml:space="preserve"> 9</w:t>
      </w:r>
      <w:r w:rsidRPr="00B83F82">
        <w:t xml:space="preserve">). Further, the global buckling criteria is incorporated in terms of longitudinal aspect ratio (L/D). The developed modified empirical model is shown in </w:t>
      </w:r>
      <w:r w:rsidR="00707560">
        <w:t>E</w:t>
      </w:r>
      <w:r w:rsidRPr="00B83F82">
        <w:t xml:space="preserve">quation </w:t>
      </w:r>
      <w:r w:rsidR="004B47BC">
        <w:t>6</w:t>
      </w:r>
      <w:r w:rsidRPr="00B83F82">
        <w:t>.</w:t>
      </w:r>
    </w:p>
    <w:p w14:paraId="31132371" w14:textId="467D19CA" w:rsidR="00B83F82" w:rsidRPr="004B47BC" w:rsidRDefault="00707560" w:rsidP="004B47BC">
      <w:pPr>
        <w:pStyle w:val="equation"/>
        <w:jc w:val="center"/>
      </w:pPr>
      <m:oMath>
        <m:f>
          <m:fPr>
            <m:ctrlPr>
              <w:rPr>
                <w:rFonts w:ascii="Cambria Math" w:hAnsi="Cambria Math"/>
                <w:color w:val="000000"/>
              </w:rPr>
            </m:ctrlPr>
          </m:fPr>
          <m:num>
            <m:sSub>
              <m:sSubPr>
                <m:ctrlPr>
                  <w:rPr>
                    <w:rFonts w:ascii="Cambria Math" w:hAnsi="Cambria Math"/>
                    <w:color w:val="000000"/>
                  </w:rPr>
                </m:ctrlPr>
              </m:sSubPr>
              <m:e>
                <m:r>
                  <w:rPr>
                    <w:rFonts w:ascii="Cambria Math" w:hAnsi="Cambria Math"/>
                    <w:color w:val="000000"/>
                  </w:rPr>
                  <m:t>P</m:t>
                </m:r>
              </m:e>
              <m:sub>
                <m:r>
                  <w:rPr>
                    <w:rFonts w:ascii="Cambria Math" w:hAnsi="Cambria Math"/>
                    <w:color w:val="000000"/>
                  </w:rPr>
                  <m:t>m</m:t>
                </m:r>
              </m:sub>
            </m:sSub>
          </m:num>
          <m:den>
            <m:sSub>
              <m:sSubPr>
                <m:ctrlPr>
                  <w:rPr>
                    <w:rFonts w:ascii="Cambria Math" w:hAnsi="Cambria Math"/>
                    <w:color w:val="000000"/>
                  </w:rPr>
                </m:ctrlPr>
              </m:sSubPr>
              <m:e>
                <m:r>
                  <w:rPr>
                    <w:rFonts w:ascii="Cambria Math" w:hAnsi="Cambria Math"/>
                    <w:color w:val="000000"/>
                  </w:rPr>
                  <m:t>M</m:t>
                </m:r>
              </m:e>
              <m:sub>
                <m:r>
                  <m:rPr>
                    <m:sty m:val="p"/>
                  </m:rPr>
                  <w:rPr>
                    <w:rFonts w:ascii="Cambria Math" w:hAnsi="Cambria Math"/>
                    <w:color w:val="000000"/>
                  </w:rPr>
                  <m:t>0</m:t>
                </m:r>
              </m:sub>
            </m:sSub>
          </m:den>
        </m:f>
        <m:r>
          <m:rPr>
            <m:sty m:val="p"/>
          </m:rPr>
          <w:rPr>
            <w:rFonts w:ascii="Cambria Math" w:hAnsi="Cambria Math"/>
          </w:rPr>
          <m:t>=</m:t>
        </m:r>
        <m:r>
          <m:rPr>
            <m:nor/>
          </m:rPr>
          <m:t>(</m:t>
        </m:r>
        <m:sSub>
          <m:sSubPr>
            <m:ctrlPr>
              <w:rPr>
                <w:rFonts w:ascii="Cambria Math" w:hAnsi="Cambria Math"/>
                <w:iCs/>
              </w:rPr>
            </m:ctrlPr>
          </m:sSubPr>
          <m:e>
            <m:r>
              <m:rPr>
                <m:nor/>
              </m:rPr>
              <m:t>b</m:t>
            </m:r>
          </m:e>
          <m:sub>
            <m:r>
              <m:rPr>
                <m:nor/>
              </m:rPr>
              <m:t>0</m:t>
            </m:r>
          </m:sub>
        </m:sSub>
        <m:r>
          <m:rPr>
            <m:nor/>
          </m:rPr>
          <m:t>+ </m:t>
        </m:r>
        <m:sSub>
          <m:sSubPr>
            <m:ctrlPr>
              <w:rPr>
                <w:rFonts w:ascii="Cambria Math" w:hAnsi="Cambria Math"/>
                <w:iCs/>
              </w:rPr>
            </m:ctrlPr>
          </m:sSubPr>
          <m:e>
            <m:r>
              <m:rPr>
                <m:nor/>
              </m:rPr>
              <m:t>b</m:t>
            </m:r>
          </m:e>
          <m:sub>
            <m:r>
              <m:rPr>
                <m:nor/>
              </m:rPr>
              <m:t>1</m:t>
            </m:r>
          </m:sub>
        </m:sSub>
        <m:rad>
          <m:radPr>
            <m:degHide m:val="1"/>
            <m:ctrlPr>
              <w:rPr>
                <w:rFonts w:ascii="Cambria Math" w:hAnsi="Cambria Math"/>
                <w:iCs/>
              </w:rPr>
            </m:ctrlPr>
          </m:radPr>
          <m:deg/>
          <m:e>
            <m:f>
              <m:fPr>
                <m:ctrlPr>
                  <w:rPr>
                    <w:rFonts w:ascii="Cambria Math" w:hAnsi="Cambria Math"/>
                    <w:iCs/>
                  </w:rPr>
                </m:ctrlPr>
              </m:fPr>
              <m:num>
                <m:r>
                  <m:rPr>
                    <m:nor/>
                  </m:rPr>
                  <m:t>D</m:t>
                </m:r>
              </m:num>
              <m:den>
                <m:r>
                  <m:rPr>
                    <m:nor/>
                  </m:rPr>
                  <m:t>t</m:t>
                </m:r>
              </m:den>
            </m:f>
          </m:e>
        </m:rad>
        <m:r>
          <m:rPr>
            <m:nor/>
          </m:rPr>
          <m:t>  +</m:t>
        </m:r>
        <m:sSub>
          <m:sSubPr>
            <m:ctrlPr>
              <w:rPr>
                <w:rFonts w:ascii="Cambria Math" w:hAnsi="Cambria Math"/>
                <w:iCs/>
              </w:rPr>
            </m:ctrlPr>
          </m:sSubPr>
          <m:e>
            <m:r>
              <m:rPr>
                <m:nor/>
              </m:rPr>
              <m:t>b</m:t>
            </m:r>
          </m:e>
          <m:sub>
            <m:r>
              <m:rPr>
                <m:nor/>
              </m:rPr>
              <m:t>2</m:t>
            </m:r>
          </m:sub>
        </m:sSub>
        <m:rad>
          <m:radPr>
            <m:degHide m:val="1"/>
            <m:ctrlPr>
              <w:rPr>
                <w:rFonts w:ascii="Cambria Math" w:hAnsi="Cambria Math"/>
                <w:iCs/>
              </w:rPr>
            </m:ctrlPr>
          </m:radPr>
          <m:deg/>
          <m:e>
            <m:f>
              <m:fPr>
                <m:ctrlPr>
                  <w:rPr>
                    <w:rFonts w:ascii="Cambria Math" w:hAnsi="Cambria Math"/>
                    <w:iCs/>
                  </w:rPr>
                </m:ctrlPr>
              </m:fPr>
              <m:num>
                <m:r>
                  <m:rPr>
                    <m:nor/>
                  </m:rPr>
                  <m:t>L</m:t>
                </m:r>
              </m:num>
              <m:den>
                <m:r>
                  <m:rPr>
                    <m:nor/>
                  </m:rPr>
                  <m:t>D</m:t>
                </m:r>
              </m:den>
            </m:f>
          </m:e>
        </m:rad>
        <m:r>
          <m:rPr>
            <m:nor/>
          </m:rPr>
          <m:t>) </m:t>
        </m:r>
      </m:oMath>
      <w:r w:rsidR="004B47BC">
        <w:t xml:space="preserve"> </w:t>
      </w:r>
      <w:r w:rsidR="004B47BC">
        <w:tab/>
        <w:t>(</w:t>
      </w:r>
      <w:fldSimple w:instr=" SEQ &quot;equation&quot; \n \* MERGEFORMAT ">
        <w:r w:rsidR="00706453">
          <w:rPr>
            <w:noProof/>
          </w:rPr>
          <w:t>7</w:t>
        </w:r>
      </w:fldSimple>
      <w:r w:rsidR="004B47BC">
        <w:t>)</w:t>
      </w:r>
    </w:p>
    <w:p w14:paraId="464376F9" w14:textId="38F0986F" w:rsidR="00B83F82" w:rsidRPr="004B47BC" w:rsidRDefault="00707560" w:rsidP="004B47BC">
      <w:pPr>
        <w:pStyle w:val="equation"/>
        <w:jc w:val="center"/>
        <w:rPr>
          <w:rFonts w:eastAsiaTheme="minorEastAsia"/>
        </w:rPr>
      </w:pPr>
      <m:oMath>
        <m:sSub>
          <m:sSubPr>
            <m:ctrlPr>
              <w:rPr>
                <w:rFonts w:ascii="Cambria Math" w:hAnsi="Cambria Math"/>
                <w:iCs/>
              </w:rPr>
            </m:ctrlPr>
          </m:sSubPr>
          <m:e>
            <m:r>
              <w:rPr>
                <w:rFonts w:ascii="Cambria Math" w:hAnsi="Cambria Math"/>
              </w:rPr>
              <m:t>M</m:t>
            </m:r>
          </m:e>
          <m:sub>
            <m:r>
              <m:rPr>
                <m:sty m:val="p"/>
              </m:rPr>
              <w:rPr>
                <w:rFonts w:ascii="Cambria Math" w:hAnsi="Cambria Math"/>
              </w:rPr>
              <m:t>0</m:t>
            </m:r>
          </m:sub>
        </m:sSub>
        <m:r>
          <m:rPr>
            <m:sty m:val="p"/>
          </m:rPr>
          <w:rPr>
            <w:rFonts w:ascii="Cambria Math" w:hAnsi="Cambria Math"/>
          </w:rPr>
          <m:t>= </m:t>
        </m:r>
        <m:sSub>
          <m:sSubPr>
            <m:ctrlPr>
              <w:rPr>
                <w:rFonts w:ascii="Cambria Math" w:hAnsi="Cambria Math"/>
                <w:iCs/>
              </w:rPr>
            </m:ctrlPr>
          </m:sSubPr>
          <m:e>
            <m:r>
              <w:rPr>
                <w:rFonts w:ascii="Cambria Math" w:hAnsi="Cambria Math"/>
              </w:rPr>
              <m:t>Z</m:t>
            </m:r>
          </m:e>
          <m:sub>
            <m:r>
              <w:rPr>
                <w:rFonts w:ascii="Cambria Math" w:hAnsi="Cambria Math"/>
              </w:rPr>
              <m:t>p</m:t>
            </m:r>
          </m:sub>
        </m:sSub>
        <m:r>
          <m:rPr>
            <m:nor/>
          </m:rPr>
          <m:t>× </m:t>
        </m:r>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m:t>
            </m:r>
            <m:r>
              <w:rPr>
                <w:rFonts w:ascii="Cambria Math" w:hAnsi="Cambria Math"/>
              </w:rPr>
              <m:t>a</m:t>
            </m:r>
          </m:sub>
        </m:sSub>
      </m:oMath>
      <w:r w:rsidR="004B47BC">
        <w:rPr>
          <w:rFonts w:eastAsiaTheme="minorEastAsia"/>
          <w:iCs/>
        </w:rPr>
        <w:t xml:space="preserve"> </w:t>
      </w:r>
      <w:r w:rsidR="004B47BC">
        <w:rPr>
          <w:rFonts w:eastAsiaTheme="minorEastAsia"/>
        </w:rPr>
        <w:tab/>
        <w:t>(</w:t>
      </w:r>
      <w:r w:rsidR="004B47BC">
        <w:rPr>
          <w:rFonts w:eastAsiaTheme="minorEastAsia"/>
        </w:rPr>
        <w:fldChar w:fldCharType="begin"/>
      </w:r>
      <w:r w:rsidR="004B47BC">
        <w:rPr>
          <w:rFonts w:eastAsiaTheme="minorEastAsia"/>
        </w:rPr>
        <w:instrText xml:space="preserve"> SEQ "equation" \n \* MERGEFORMAT </w:instrText>
      </w:r>
      <w:r w:rsidR="004B47BC">
        <w:rPr>
          <w:rFonts w:eastAsiaTheme="minorEastAsia"/>
        </w:rPr>
        <w:fldChar w:fldCharType="separate"/>
      </w:r>
      <w:r w:rsidR="00706453">
        <w:rPr>
          <w:rFonts w:eastAsiaTheme="minorEastAsia"/>
          <w:noProof/>
        </w:rPr>
        <w:t>8</w:t>
      </w:r>
      <w:r w:rsidR="004B47BC">
        <w:rPr>
          <w:rFonts w:eastAsiaTheme="minorEastAsia"/>
        </w:rPr>
        <w:fldChar w:fldCharType="end"/>
      </w:r>
      <w:r w:rsidR="004B47BC">
        <w:rPr>
          <w:rFonts w:eastAsiaTheme="minorEastAsia"/>
        </w:rPr>
        <w:t>)</w:t>
      </w:r>
    </w:p>
    <w:p w14:paraId="25380EE4" w14:textId="12228301" w:rsidR="00B83F82" w:rsidRPr="004B47BC" w:rsidRDefault="00707560" w:rsidP="004B47BC">
      <w:pPr>
        <w:pStyle w:val="equation"/>
        <w:jc w:val="center"/>
      </w:pPr>
      <m:oMath>
        <m:sSub>
          <m:sSubPr>
            <m:ctrlPr>
              <w:rPr>
                <w:rFonts w:ascii="Cambria Math" w:hAnsi="Cambria Math"/>
                <w:iCs/>
              </w:rPr>
            </m:ctrlPr>
          </m:sSubPr>
          <m:e>
            <m:r>
              <w:rPr>
                <w:rFonts w:ascii="Cambria Math" w:hAnsi="Cambria Math"/>
              </w:rPr>
              <m:t>Z</m:t>
            </m:r>
          </m:e>
          <m:sub>
            <m:r>
              <w:rPr>
                <w:rFonts w:ascii="Cambria Math" w:hAnsi="Cambria Math"/>
              </w:rPr>
              <m:t>p</m:t>
            </m:r>
          </m:sub>
        </m:sSub>
        <m:r>
          <m:rPr>
            <m:sty m:val="p"/>
          </m:rPr>
          <w:rPr>
            <w:rFonts w:ascii="Cambria Math" w:hAnsi="Cambria Math"/>
          </w:rPr>
          <m:t>= </m:t>
        </m:r>
        <m:f>
          <m:fPr>
            <m:ctrlPr>
              <w:rPr>
                <w:rFonts w:ascii="Cambria Math" w:hAnsi="Cambria Math"/>
                <w:iCs/>
              </w:rPr>
            </m:ctrlPr>
          </m:fPr>
          <m:num>
            <m:sSup>
              <m:sSupPr>
                <m:ctrlPr>
                  <w:rPr>
                    <w:rFonts w:ascii="Cambria Math" w:hAnsi="Cambria Math"/>
                    <w:iCs/>
                  </w:rPr>
                </m:ctrlPr>
              </m:sSupPr>
              <m:e>
                <m:r>
                  <w:rPr>
                    <w:rFonts w:ascii="Cambria Math" w:hAnsi="Cambria Math"/>
                  </w:rPr>
                  <m:t>D</m:t>
                </m:r>
              </m:e>
              <m:sup>
                <m:r>
                  <m:rPr>
                    <m:sty m:val="p"/>
                  </m:rPr>
                  <w:rPr>
                    <w:rFonts w:ascii="Cambria Math" w:hAnsi="Cambria Math"/>
                  </w:rPr>
                  <m:t>3</m:t>
                </m:r>
              </m:sup>
            </m:sSup>
            <m:r>
              <m:rPr>
                <m:sty m:val="p"/>
              </m:rPr>
              <w:rPr>
                <w:rFonts w:ascii="Cambria Math" w:hAnsi="Cambria Math"/>
              </w:rPr>
              <m:t> - </m:t>
            </m:r>
            <m:sSup>
              <m:sSupPr>
                <m:ctrlPr>
                  <w:rPr>
                    <w:rFonts w:ascii="Cambria Math" w:hAnsi="Cambria Math"/>
                    <w:iCs/>
                  </w:rPr>
                </m:ctrlPr>
              </m:sSupPr>
              <m:e>
                <m:r>
                  <m:rPr>
                    <m:sty m:val="p"/>
                  </m:rPr>
                  <w:rPr>
                    <w:rFonts w:ascii="Cambria Math" w:hAnsi="Cambria Math"/>
                  </w:rPr>
                  <m:t>(</m:t>
                </m:r>
                <m:r>
                  <w:rPr>
                    <w:rFonts w:ascii="Cambria Math" w:hAnsi="Cambria Math"/>
                  </w:rPr>
                  <m:t>D</m:t>
                </m:r>
                <m:r>
                  <m:rPr>
                    <m:sty m:val="p"/>
                  </m:rPr>
                  <w:rPr>
                    <w:rFonts w:ascii="Cambria Math" w:hAnsi="Cambria Math"/>
                  </w:rPr>
                  <m:t>-2</m:t>
                </m:r>
                <m:r>
                  <w:rPr>
                    <w:rFonts w:ascii="Cambria Math" w:hAnsi="Cambria Math"/>
                  </w:rPr>
                  <m:t>t</m:t>
                </m:r>
                <m:r>
                  <m:rPr>
                    <m:sty m:val="p"/>
                  </m:rPr>
                  <w:rPr>
                    <w:rFonts w:ascii="Cambria Math" w:hAnsi="Cambria Math"/>
                  </w:rPr>
                  <m:t>)</m:t>
                </m:r>
              </m:e>
              <m:sup>
                <m:r>
                  <m:rPr>
                    <m:sty m:val="p"/>
                  </m:rPr>
                  <w:rPr>
                    <w:rFonts w:ascii="Cambria Math" w:hAnsi="Cambria Math"/>
                  </w:rPr>
                  <m:t>3</m:t>
                </m:r>
              </m:sup>
            </m:sSup>
          </m:num>
          <m:den>
            <m:r>
              <m:rPr>
                <m:sty m:val="p"/>
              </m:rPr>
              <w:rPr>
                <w:rFonts w:ascii="Cambria Math" w:hAnsi="Cambria Math"/>
              </w:rPr>
              <m:t>6</m:t>
            </m:r>
          </m:den>
        </m:f>
      </m:oMath>
      <w:r w:rsidR="004B47BC">
        <w:rPr>
          <w:iCs/>
        </w:rPr>
        <w:t xml:space="preserve"> </w:t>
      </w:r>
      <w:r w:rsidR="004B47BC">
        <w:tab/>
        <w:t>(</w:t>
      </w:r>
      <w:fldSimple w:instr=" SEQ &quot;equation&quot; \n \* MERGEFORMAT ">
        <w:r w:rsidR="00706453">
          <w:rPr>
            <w:noProof/>
          </w:rPr>
          <w:t>9</w:t>
        </w:r>
      </w:fldSimple>
      <w:r w:rsidR="004B47BC">
        <w:t>)</w:t>
      </w:r>
    </w:p>
    <w:p w14:paraId="2D5EBBDD" w14:textId="77777777" w:rsidR="008A65C4" w:rsidRDefault="00817CE1" w:rsidP="00817CE1">
      <w:r w:rsidRPr="00817CE1">
        <w:t xml:space="preserve">Where regression constants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r>
          <m:rPr>
            <m:sty m:val="p"/>
          </m:rPr>
          <w:rPr>
            <w:rFonts w:ascii="Cambria Math" w:hAnsi="Cambria Math"/>
          </w:rPr>
          <m:t xml:space="preserve">, and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oMath>
      <w:r w:rsidRPr="00817CE1">
        <w:t xml:space="preserve"> are 0.0372, -0.0018, and -0.0027, respectively. </w:t>
      </w:r>
      <w:r w:rsidR="00B83F82" w:rsidRPr="00B83F82">
        <w:t>The proposed model performance is evaluated by coefficient of determination as 0.9</w:t>
      </w:r>
      <w:r>
        <w:t>8</w:t>
      </w:r>
      <w:r w:rsidR="00B83F82" w:rsidRPr="00B83F82">
        <w:t xml:space="preserve">, demonstrating satisfied performance. </w:t>
      </w:r>
    </w:p>
    <w:p w14:paraId="0A666DC3" w14:textId="63794011" w:rsidR="00B83F82" w:rsidRDefault="00CF36CB" w:rsidP="00B83F82">
      <w:pPr>
        <w:pStyle w:val="heading2"/>
      </w:pPr>
      <w:r>
        <w:t xml:space="preserve">Empirical Model for </w:t>
      </w:r>
      <w:r w:rsidR="00B83F82">
        <w:t>PU Foam</w:t>
      </w:r>
      <w:r w:rsidR="00707560">
        <w:t>-</w:t>
      </w:r>
      <w:r w:rsidR="00B83F82">
        <w:t>Filled Aluminum</w:t>
      </w:r>
      <w:r>
        <w:t xml:space="preserve"> Circular</w:t>
      </w:r>
      <w:r w:rsidR="00B83F82">
        <w:t xml:space="preserve"> Tube</w:t>
      </w:r>
      <w:r>
        <w:t>s</w:t>
      </w:r>
      <w:r w:rsidR="00B83F82">
        <w:t xml:space="preserve"> </w:t>
      </w:r>
    </w:p>
    <w:p w14:paraId="168D94AE" w14:textId="33CC8A9E" w:rsidR="00B83F82" w:rsidRPr="00B83F82" w:rsidRDefault="00B83F82" w:rsidP="00B83F82">
      <w:pPr>
        <w:pStyle w:val="p1a"/>
      </w:pPr>
      <w:r w:rsidRPr="00B83F82">
        <w:t>Similarly, the British guidelines [15] for aluminum</w:t>
      </w:r>
      <w:r w:rsidR="00707560">
        <w:t>-</w:t>
      </w:r>
      <w:r w:rsidRPr="00B83F82">
        <w:t xml:space="preserve">filled tubes are modified based on the present experimental dataset by incorporating the global buckling criteria utilizing </w:t>
      </w:r>
      <w:r w:rsidR="00707560">
        <w:t>the </w:t>
      </w:r>
      <w:r w:rsidRPr="00B83F82">
        <w:t xml:space="preserve">L/D ratio. In general, the global buckling criteria is considered based on Euler’s elastic buckling load and slenderness ratio considering unsupported buckling length, but in the view of simple site calculations for design practices thus the global buckling criteria is considered in the gross manure. The developed regression model is shown in Eq. </w:t>
      </w:r>
      <w:r w:rsidR="00817CE1">
        <w:t>10</w:t>
      </w:r>
      <w:r w:rsidRPr="00B83F82">
        <w:t xml:space="preserve">. </w:t>
      </w:r>
    </w:p>
    <w:p w14:paraId="508D8B96" w14:textId="4A2E98AD" w:rsidR="00B83F82" w:rsidRDefault="00707560" w:rsidP="004B47BC">
      <w:pPr>
        <w:pStyle w:val="equation"/>
      </w:pPr>
      <m:oMath>
        <m:sSub>
          <m:sSubPr>
            <m:ctrlPr>
              <w:rPr>
                <w:rFonts w:ascii="Cambria Math" w:hAnsi="Cambria Math"/>
              </w:rPr>
            </m:ctrlPr>
          </m:sSubPr>
          <m:e>
            <m:r>
              <w:rPr>
                <w:rFonts w:ascii="Cambria Math" w:hAnsi="Cambria Math"/>
              </w:rPr>
              <m:t>P</m:t>
            </m:r>
          </m:e>
          <m:sub>
            <m:r>
              <w:rPr>
                <w:rFonts w:ascii="Cambria Math" w:hAnsi="Cambria Math"/>
              </w:rPr>
              <m:t>u</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a</m:t>
            </m:r>
          </m:sub>
        </m:sSub>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m:t>
            </m:r>
            <m:r>
              <w:rPr>
                <w:rFonts w:ascii="Cambria Math" w:hAnsi="Cambria Math"/>
              </w:rPr>
              <m:t>a</m:t>
            </m:r>
          </m:sub>
        </m:sSub>
        <m:r>
          <m:rPr>
            <m:sty m:val="p"/>
          </m:rPr>
          <w:rPr>
            <w:rFonts w:ascii="Cambria Math" w:hAnsi="Cambria Math"/>
          </w:rPr>
          <m:t>+0.8</m:t>
        </m:r>
        <m:sSub>
          <m:sSubPr>
            <m:ctrlPr>
              <w:rPr>
                <w:rFonts w:ascii="Cambria Math" w:hAnsi="Cambria Math"/>
              </w:rPr>
            </m:ctrlPr>
          </m:sSubPr>
          <m:e>
            <m:r>
              <w:rPr>
                <w:rFonts w:ascii="Cambria Math" w:hAnsi="Cambria Math"/>
              </w:rPr>
              <m:t>A</m:t>
            </m:r>
          </m:e>
          <m:sub>
            <m:r>
              <w:rPr>
                <w:rFonts w:ascii="Cambria Math" w:hAnsi="Cambria Math"/>
              </w:rPr>
              <m:t>f</m:t>
            </m:r>
          </m:sub>
        </m:sSub>
        <m:sSub>
          <m:sSubPr>
            <m:ctrlPr>
              <w:rPr>
                <w:rFonts w:ascii="Cambria Math" w:hAnsi="Cambria Math"/>
              </w:rPr>
            </m:ctrlPr>
          </m:sSubPr>
          <m:e>
            <m:r>
              <w:rPr>
                <w:rFonts w:ascii="Cambria Math" w:hAnsi="Cambria Math"/>
              </w:rPr>
              <m:t>f</m:t>
            </m:r>
          </m:e>
          <m:sub>
            <m:r>
              <w:rPr>
                <w:rFonts w:ascii="Cambria Math" w:hAnsi="Cambria Math"/>
              </w:rPr>
              <m:t>u,f</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c</m:t>
            </m:r>
          </m:e>
          <m:sub>
            <m:r>
              <m:rPr>
                <m:sty m:val="p"/>
              </m:rPr>
              <w:rPr>
                <w:rFonts w:ascii="Cambria Math" w:hAnsi="Cambria Math"/>
              </w:rPr>
              <m:t>1</m:t>
            </m:r>
          </m:sub>
        </m:sSub>
        <m:d>
          <m:dPr>
            <m:ctrlPr>
              <w:rPr>
                <w:rFonts w:ascii="Cambria Math" w:hAnsi="Cambria Math"/>
              </w:rPr>
            </m:ctrlPr>
          </m:dPr>
          <m:e>
            <m:f>
              <m:fPr>
                <m:ctrlPr>
                  <w:rPr>
                    <w:rFonts w:ascii="Cambria Math" w:hAnsi="Cambria Math"/>
                  </w:rPr>
                </m:ctrlPr>
              </m:fPr>
              <m:num>
                <m:r>
                  <w:rPr>
                    <w:rFonts w:ascii="Cambria Math" w:hAnsi="Cambria Math"/>
                  </w:rPr>
                  <m:t>D</m:t>
                </m:r>
              </m:num>
              <m:den>
                <m:r>
                  <w:rPr>
                    <w:rFonts w:ascii="Cambria Math" w:hAnsi="Cambria Math"/>
                  </w:rPr>
                  <m:t>t</m:t>
                </m:r>
              </m:den>
            </m:f>
          </m:e>
        </m:d>
        <m:r>
          <m:rPr>
            <m:sty m:val="p"/>
          </m:rPr>
          <w:rPr>
            <w:rFonts w:ascii="Cambria Math" w:hAnsi="Cambria Math"/>
          </w:rPr>
          <m:t xml:space="preserve">+ </m:t>
        </m:r>
        <m:sSub>
          <m:sSubPr>
            <m:ctrlPr>
              <w:rPr>
                <w:rFonts w:ascii="Cambria Math" w:hAnsi="Cambria Math"/>
              </w:rPr>
            </m:ctrlPr>
          </m:sSubPr>
          <m:e>
            <m:r>
              <w:rPr>
                <w:rFonts w:ascii="Cambria Math" w:hAnsi="Cambria Math"/>
              </w:rPr>
              <m:t>c</m:t>
            </m:r>
          </m:e>
          <m:sub>
            <m:r>
              <m:rPr>
                <m:sty m:val="p"/>
              </m:rPr>
              <w:rPr>
                <w:rFonts w:ascii="Cambria Math" w:hAnsi="Cambria Math"/>
              </w:rPr>
              <m:t>2</m:t>
            </m:r>
          </m:sub>
        </m:sSub>
        <m:d>
          <m:dPr>
            <m:ctrlPr>
              <w:rPr>
                <w:rFonts w:ascii="Cambria Math" w:hAnsi="Cambria Math"/>
              </w:rPr>
            </m:ctrlPr>
          </m:dPr>
          <m:e>
            <m:f>
              <m:fPr>
                <m:ctrlPr>
                  <w:rPr>
                    <w:rFonts w:ascii="Cambria Math" w:hAnsi="Cambria Math"/>
                  </w:rPr>
                </m:ctrlPr>
              </m:fPr>
              <m:num>
                <m:r>
                  <w:rPr>
                    <w:rFonts w:ascii="Cambria Math" w:hAnsi="Cambria Math"/>
                  </w:rPr>
                  <m:t>L</m:t>
                </m:r>
              </m:num>
              <m:den>
                <m:r>
                  <w:rPr>
                    <w:rFonts w:ascii="Cambria Math" w:hAnsi="Cambria Math"/>
                  </w:rPr>
                  <m:t>D</m:t>
                </m:r>
              </m:den>
            </m:f>
          </m:e>
        </m:d>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c</m:t>
            </m:r>
          </m:sub>
        </m:sSub>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m:t>
            </m:r>
            <m:r>
              <w:rPr>
                <w:rFonts w:ascii="Cambria Math" w:hAnsi="Cambria Math"/>
              </w:rPr>
              <m:t>a</m:t>
            </m:r>
          </m:sub>
        </m:sSub>
      </m:oMath>
      <w:r w:rsidR="004B47BC">
        <w:t xml:space="preserve"> </w:t>
      </w:r>
      <w:r w:rsidR="004B47BC">
        <w:tab/>
        <w:t>(</w:t>
      </w:r>
      <w:fldSimple w:instr=" SEQ &quot;equation&quot; \n \* MERGEFORMAT ">
        <w:r w:rsidR="00706453">
          <w:rPr>
            <w:noProof/>
          </w:rPr>
          <w:t>10</w:t>
        </w:r>
      </w:fldSimple>
      <w:r w:rsidR="004B47BC">
        <w:t>)</w:t>
      </w:r>
    </w:p>
    <w:p w14:paraId="64148D87" w14:textId="487ED819" w:rsidR="00751A8C" w:rsidRDefault="00B83CD4" w:rsidP="003A50D9">
      <w:r>
        <w:t xml:space="preserve">Where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 xml:space="preserve">f </m:t>
            </m:r>
          </m:sub>
        </m:sSub>
        <m:sSub>
          <m:sSubPr>
            <m:ctrlPr>
              <w:rPr>
                <w:rFonts w:ascii="Cambria Math" w:hAnsi="Cambria Math"/>
              </w:rPr>
            </m:ctrlPr>
          </m:sSubPr>
          <m:e>
            <m:r>
              <m:rPr>
                <m:sty m:val="p"/>
              </m:rPr>
              <w:rPr>
                <w:rFonts w:ascii="Cambria Math" w:hAnsi="Cambria Math"/>
              </w:rPr>
              <m:t>and f</m:t>
            </m:r>
          </m:e>
          <m:sub>
            <m:r>
              <m:rPr>
                <m:sty m:val="p"/>
              </m:rPr>
              <w:rPr>
                <w:rFonts w:ascii="Cambria Math" w:hAnsi="Cambria Math"/>
              </w:rPr>
              <m:t>u,f</m:t>
            </m:r>
          </m:sub>
        </m:sSub>
      </m:oMath>
      <w:r w:rsidR="00817CE1">
        <w:rPr>
          <w:vertAlign w:val="subscript"/>
        </w:rPr>
        <w:t xml:space="preserve"> </w:t>
      </w:r>
      <w:r w:rsidR="00817CE1">
        <w:t xml:space="preserve">are </w:t>
      </w:r>
      <w:r w:rsidR="00817CE1" w:rsidRPr="00817CE1">
        <w:t>area</w:t>
      </w:r>
      <w:r w:rsidR="00817CE1">
        <w:t xml:space="preserve"> and ultimate stress of infill high</w:t>
      </w:r>
      <w:r w:rsidR="00707560">
        <w:t>-d</w:t>
      </w:r>
      <w:r w:rsidR="00817CE1">
        <w:t xml:space="preserve">ensity foam, and </w:t>
      </w:r>
      <w:r w:rsidR="00817CE1" w:rsidRPr="00817CE1">
        <w:t xml:space="preserve">regression constants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 xml:space="preserve">, and </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oMath>
      <w:r w:rsidR="00817CE1" w:rsidRPr="00817CE1">
        <w:t xml:space="preserve"> are </w:t>
      </w:r>
      <w:r w:rsidR="00817CE1">
        <w:t>-0.2114</w:t>
      </w:r>
      <w:r w:rsidR="00817CE1" w:rsidRPr="00817CE1">
        <w:t xml:space="preserve">, </w:t>
      </w:r>
      <w:r w:rsidR="00817CE1">
        <w:t>0.0033</w:t>
      </w:r>
      <w:r w:rsidR="00817CE1" w:rsidRPr="00817CE1">
        <w:t xml:space="preserve">, and </w:t>
      </w:r>
      <w:r w:rsidR="00817CE1">
        <w:t>-0.0013</w:t>
      </w:r>
      <w:r w:rsidR="00817CE1" w:rsidRPr="00817CE1">
        <w:t>, respectively.</w:t>
      </w:r>
      <w:r w:rsidR="003A50D9">
        <w:t xml:space="preserve"> </w:t>
      </w:r>
      <w:r w:rsidR="00B83F82" w:rsidRPr="00B83F82">
        <w:t xml:space="preserve">The performance is evaluated by </w:t>
      </w:r>
      <w:r w:rsidR="00707560">
        <w:t>the </w:t>
      </w:r>
      <w:r w:rsidR="00B83F82" w:rsidRPr="00B83F82">
        <w:t>coefficient of determination as 0.9</w:t>
      </w:r>
      <w:r w:rsidR="00817CE1">
        <w:t>9</w:t>
      </w:r>
      <w:r w:rsidR="009F71A6">
        <w:t xml:space="preserve">. </w:t>
      </w:r>
      <w:r w:rsidR="00B83F82" w:rsidRPr="00B83F82">
        <w:t>Thus, the empirical model showcas</w:t>
      </w:r>
      <w:r w:rsidR="00707560">
        <w:t>es</w:t>
      </w:r>
      <w:r w:rsidR="00B83F82" w:rsidRPr="00B83F82">
        <w:t xml:space="preserve"> allowable errors.</w:t>
      </w:r>
      <w:r w:rsidR="00130481">
        <w:t xml:space="preserve"> </w:t>
      </w:r>
    </w:p>
    <w:p w14:paraId="7187F2AB" w14:textId="77777777" w:rsidR="003A50D9" w:rsidRDefault="003A50D9" w:rsidP="00E45561">
      <w:pPr>
        <w:ind w:firstLine="0"/>
      </w:pPr>
    </w:p>
    <w:p w14:paraId="663FA46A" w14:textId="1A56F3BD" w:rsidR="00E45561" w:rsidRPr="00E45561" w:rsidRDefault="00E45561" w:rsidP="00E45561">
      <w:pPr>
        <w:ind w:firstLine="0"/>
      </w:pPr>
      <w:r>
        <w:t>The empirical models proposed for both empty and foam</w:t>
      </w:r>
      <w:r w:rsidR="00707560">
        <w:t>-</w:t>
      </w:r>
      <w:r>
        <w:t>filled tubes are followed by short column theory assumptions</w:t>
      </w:r>
      <w:r w:rsidR="003A50D9">
        <w:t>,</w:t>
      </w:r>
      <w:r>
        <w:t xml:space="preserve"> ignoring eccentricity effects and within the range of L/</w:t>
      </w:r>
      <w:r w:rsidR="00DF7B6B">
        <w:t>D</w:t>
      </w:r>
      <w:r>
        <w:t xml:space="preserve"> from 3 to 5 and D/t of 30 to 45. </w:t>
      </w:r>
    </w:p>
    <w:p w14:paraId="3AA9BCD2" w14:textId="77777777" w:rsidR="00B83F82" w:rsidRDefault="00B83F82" w:rsidP="00B83F82">
      <w:pPr>
        <w:pStyle w:val="heading1"/>
      </w:pPr>
      <w:r>
        <w:t>Comparative Analysis</w:t>
      </w:r>
    </w:p>
    <w:p w14:paraId="267F9AAD" w14:textId="4E94EAE8" w:rsidR="00E45561" w:rsidRPr="00E45561" w:rsidRDefault="00B83F82" w:rsidP="00B25E43">
      <w:pPr>
        <w:pStyle w:val="p1a"/>
      </w:pPr>
      <w:r w:rsidRPr="00B83F82">
        <w:t xml:space="preserve">The comparative analysis is carried out </w:t>
      </w:r>
      <w:r w:rsidR="00215557">
        <w:t>for</w:t>
      </w:r>
      <w:r w:rsidRPr="00B83F82">
        <w:t xml:space="preserve"> </w:t>
      </w:r>
      <w:r w:rsidR="00707560">
        <w:t>the </w:t>
      </w:r>
      <w:r w:rsidRPr="00B83F82">
        <w:t>mean cursing strength of empty and high-density P</w:t>
      </w:r>
      <w:r w:rsidR="00573575">
        <w:t>U</w:t>
      </w:r>
      <w:r w:rsidRPr="00B83F82">
        <w:t xml:space="preserve"> foam filled Circular Aluminum Tubes </w:t>
      </w:r>
      <w:r w:rsidR="00215557">
        <w:t xml:space="preserve">with varied D/t and L/D ratios </w:t>
      </w:r>
      <w:r w:rsidR="00215557">
        <w:lastRenderedPageBreak/>
        <w:t>and s</w:t>
      </w:r>
      <w:r w:rsidRPr="00B83F82">
        <w:t xml:space="preserve">hown in </w:t>
      </w:r>
      <w:r w:rsidR="00CD36A8">
        <w:fldChar w:fldCharType="begin"/>
      </w:r>
      <w:r w:rsidR="00CD36A8">
        <w:instrText xml:space="preserve"> REF _Ref175729701 \h </w:instrText>
      </w:r>
      <w:r w:rsidR="00CD36A8">
        <w:fldChar w:fldCharType="separate"/>
      </w:r>
      <w:r w:rsidR="00706453">
        <w:rPr>
          <w:b/>
        </w:rPr>
        <w:t xml:space="preserve">Fig. </w:t>
      </w:r>
      <w:r w:rsidR="00706453">
        <w:rPr>
          <w:b/>
          <w:noProof/>
        </w:rPr>
        <w:t>5</w:t>
      </w:r>
      <w:r w:rsidR="00CD36A8">
        <w:fldChar w:fldCharType="end"/>
      </w:r>
      <w:r w:rsidR="00CD36A8">
        <w:t xml:space="preserve"> </w:t>
      </w:r>
      <w:r w:rsidRPr="00B83F82">
        <w:t xml:space="preserve">and </w:t>
      </w:r>
      <w:r w:rsidR="00CD36A8">
        <w:fldChar w:fldCharType="begin"/>
      </w:r>
      <w:r w:rsidR="00CD36A8">
        <w:instrText xml:space="preserve"> REF _Ref175729713 \h </w:instrText>
      </w:r>
      <w:r w:rsidR="00CD36A8">
        <w:fldChar w:fldCharType="separate"/>
      </w:r>
      <w:r w:rsidR="00706453">
        <w:rPr>
          <w:b/>
        </w:rPr>
        <w:t xml:space="preserve">Fig. </w:t>
      </w:r>
      <w:r w:rsidR="00706453">
        <w:rPr>
          <w:b/>
          <w:noProof/>
        </w:rPr>
        <w:t>6</w:t>
      </w:r>
      <w:r w:rsidR="00CD36A8">
        <w:fldChar w:fldCharType="end"/>
      </w:r>
      <w:r w:rsidRPr="00B83F82">
        <w:t xml:space="preserve"> respectively, considering experimental results, relevant analytical model and empirical model developed in </w:t>
      </w:r>
      <w:r w:rsidR="00707560">
        <w:t>the </w:t>
      </w:r>
      <w:r w:rsidRPr="00B83F82">
        <w:t xml:space="preserve">present study. </w:t>
      </w:r>
    </w:p>
    <w:p w14:paraId="2F9E42B0" w14:textId="77777777" w:rsidR="00B83F82" w:rsidRDefault="00B83F82" w:rsidP="00B83F82">
      <w:pPr>
        <w:jc w:val="center"/>
      </w:pPr>
      <w:r>
        <w:rPr>
          <w:noProof/>
        </w:rPr>
        <w:drawing>
          <wp:inline distT="0" distB="0" distL="0" distR="0" wp14:anchorId="51F40CC1" wp14:editId="5BB3F65D">
            <wp:extent cx="3657600" cy="1905000"/>
            <wp:effectExtent l="0" t="0" r="0" b="0"/>
            <wp:docPr id="1" name="Chart 1">
              <a:extLst xmlns:a="http://schemas.openxmlformats.org/drawingml/2006/main">
                <a:ext uri="{FF2B5EF4-FFF2-40B4-BE49-F238E27FC236}">
                  <a16:creationId xmlns:a16="http://schemas.microsoft.com/office/drawing/2014/main" id="{4409FB42-C333-47DB-9486-757CF9976E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5712251" w14:textId="493477AA" w:rsidR="00B83F82" w:rsidRDefault="004B47BC" w:rsidP="004B47BC">
      <w:pPr>
        <w:pStyle w:val="figurecaption"/>
      </w:pPr>
      <w:bookmarkStart w:id="15" w:name="_Ref175729701"/>
      <w:r>
        <w:rPr>
          <w:b/>
        </w:rPr>
        <w:t xml:space="preserve">Fig. </w:t>
      </w:r>
      <w:r>
        <w:rPr>
          <w:b/>
        </w:rPr>
        <w:fldChar w:fldCharType="begin"/>
      </w:r>
      <w:r>
        <w:rPr>
          <w:b/>
        </w:rPr>
        <w:instrText xml:space="preserve"> SEQ "Figure" \* MERGEFORMAT </w:instrText>
      </w:r>
      <w:r>
        <w:rPr>
          <w:b/>
        </w:rPr>
        <w:fldChar w:fldCharType="separate"/>
      </w:r>
      <w:r w:rsidR="00706453">
        <w:rPr>
          <w:b/>
          <w:noProof/>
        </w:rPr>
        <w:t>5</w:t>
      </w:r>
      <w:r>
        <w:rPr>
          <w:b/>
        </w:rPr>
        <w:fldChar w:fldCharType="end"/>
      </w:r>
      <w:bookmarkEnd w:id="15"/>
      <w:r>
        <w:rPr>
          <w:b/>
        </w:rPr>
        <w:t>.</w:t>
      </w:r>
      <w:r>
        <w:t xml:space="preserve"> </w:t>
      </w:r>
      <w:r w:rsidR="00B83F82" w:rsidRPr="004B47BC">
        <w:t>Comparative</w:t>
      </w:r>
      <w:r w:rsidR="00B83F82">
        <w:t xml:space="preserve"> plot for empty tubes</w:t>
      </w:r>
    </w:p>
    <w:p w14:paraId="3552BE99" w14:textId="3D09B6AA" w:rsidR="00B83F82" w:rsidRDefault="0074441F" w:rsidP="00B83F82">
      <w:pPr>
        <w:jc w:val="center"/>
      </w:pPr>
      <w:r>
        <w:rPr>
          <w:noProof/>
        </w:rPr>
        <w:drawing>
          <wp:inline distT="0" distB="0" distL="0" distR="0" wp14:anchorId="38B1750B" wp14:editId="54891F85">
            <wp:extent cx="3657600" cy="1901952"/>
            <wp:effectExtent l="0" t="0" r="0" b="3175"/>
            <wp:docPr id="3" name="Chart 3">
              <a:extLst xmlns:a="http://schemas.openxmlformats.org/drawingml/2006/main">
                <a:ext uri="{FF2B5EF4-FFF2-40B4-BE49-F238E27FC236}">
                  <a16:creationId xmlns:a16="http://schemas.microsoft.com/office/drawing/2014/main" id="{EA7D300A-578E-4529-A985-6CCA279300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266B73E" w14:textId="17A85878" w:rsidR="00B83F82" w:rsidRDefault="004B47BC" w:rsidP="004B47BC">
      <w:pPr>
        <w:pStyle w:val="figurecaption"/>
      </w:pPr>
      <w:bookmarkStart w:id="16" w:name="_Ref175729713"/>
      <w:r>
        <w:rPr>
          <w:b/>
        </w:rPr>
        <w:t xml:space="preserve">Fig. </w:t>
      </w:r>
      <w:r>
        <w:rPr>
          <w:b/>
        </w:rPr>
        <w:fldChar w:fldCharType="begin"/>
      </w:r>
      <w:r>
        <w:rPr>
          <w:b/>
        </w:rPr>
        <w:instrText xml:space="preserve"> SEQ "Figure" \* MERGEFORMAT </w:instrText>
      </w:r>
      <w:r>
        <w:rPr>
          <w:b/>
        </w:rPr>
        <w:fldChar w:fldCharType="separate"/>
      </w:r>
      <w:r w:rsidR="00706453">
        <w:rPr>
          <w:b/>
          <w:noProof/>
        </w:rPr>
        <w:t>6</w:t>
      </w:r>
      <w:r>
        <w:rPr>
          <w:b/>
        </w:rPr>
        <w:fldChar w:fldCharType="end"/>
      </w:r>
      <w:bookmarkEnd w:id="16"/>
      <w:r>
        <w:rPr>
          <w:b/>
        </w:rPr>
        <w:t>.</w:t>
      </w:r>
      <w:r>
        <w:t xml:space="preserve"> </w:t>
      </w:r>
      <w:r w:rsidR="00B83F82" w:rsidRPr="004B47BC">
        <w:t>Comparative</w:t>
      </w:r>
      <w:r w:rsidR="00B83F82">
        <w:t xml:space="preserve"> plot for foam</w:t>
      </w:r>
      <w:r w:rsidR="00707560">
        <w:t>-</w:t>
      </w:r>
      <w:r w:rsidR="00B83F82">
        <w:t>filled tubes</w:t>
      </w:r>
    </w:p>
    <w:p w14:paraId="5F8983C5" w14:textId="0D4151B0" w:rsidR="009051CE" w:rsidRDefault="009051CE" w:rsidP="009051CE">
      <w:pPr>
        <w:pStyle w:val="p1a"/>
      </w:pPr>
      <w:r>
        <w:t>The comparative analysis demonstrates that the empirical model produces accurate results when accounting for length variation, effectively incorporating global buckling criteria. However, the predicted values are up to 2% lower than the experimental values, which can be attributed to the model</w:t>
      </w:r>
      <w:r w:rsidR="00F5580D">
        <w:t>’</w:t>
      </w:r>
      <w:r>
        <w:t>s conservative approach.</w:t>
      </w:r>
    </w:p>
    <w:p w14:paraId="0272E2C5" w14:textId="2284E673" w:rsidR="00B83F82" w:rsidRDefault="00B83F82" w:rsidP="00B83F82">
      <w:pPr>
        <w:pStyle w:val="heading1"/>
      </w:pPr>
      <w:r>
        <w:t>Conclusions</w:t>
      </w:r>
    </w:p>
    <w:p w14:paraId="0C725285" w14:textId="7F3A9B02" w:rsidR="00B83F82" w:rsidRPr="00B83F82" w:rsidRDefault="00F301FE" w:rsidP="00B83F82">
      <w:pPr>
        <w:pStyle w:val="p1a"/>
      </w:pPr>
      <w:bookmarkStart w:id="17" w:name="_GoBack"/>
      <w:r>
        <w:t xml:space="preserve">The study’s conclusions can be ascertained as follows: </w:t>
      </w:r>
    </w:p>
    <w:p w14:paraId="18D47F94" w14:textId="77777777" w:rsidR="00532FDD" w:rsidRDefault="00532FDD" w:rsidP="00532FDD">
      <w:pPr>
        <w:pStyle w:val="numitem"/>
        <w:ind w:left="312"/>
      </w:pPr>
      <w:r>
        <w:t xml:space="preserve">The study found that compressive resistance decreases with thinner metal envelopes, which are more prone to local buckling. This issue can be mitigated by infilling with high-density (150 kg/m³) PU foam, which effectively resists local </w:t>
      </w:r>
      <w:r>
        <w:lastRenderedPageBreak/>
        <w:t>buckling. The foam reduces the number and depth of folds all over the length and resulting in progressive folds, thereby enhancing the overall compressive resistance.</w:t>
      </w:r>
    </w:p>
    <w:p w14:paraId="2B2F1145" w14:textId="6A8C48B1" w:rsidR="00532FDD" w:rsidRDefault="00532FDD" w:rsidP="00532FDD">
      <w:pPr>
        <w:pStyle w:val="numitem"/>
        <w:ind w:left="312"/>
      </w:pPr>
      <w:r>
        <w:t>The improvement in strength due to high-density PU foam infill varies according to the L/</w:t>
      </w:r>
      <w:r w:rsidR="00EA17EB">
        <w:t>D</w:t>
      </w:r>
      <w:r>
        <w:t xml:space="preserve"> ratio. Notably, thinner tubes exhibit a substantial increase in strength (50–55%) compared to thicker tubes (15–18%), highlighting significant material optimization, particularly in thin-walled tubes that are susceptible to local buckling.</w:t>
      </w:r>
    </w:p>
    <w:p w14:paraId="47B65DB8" w14:textId="17DAE644" w:rsidR="00532FDD" w:rsidRDefault="00532FDD" w:rsidP="00532FDD">
      <w:pPr>
        <w:pStyle w:val="numitem"/>
        <w:ind w:left="312"/>
      </w:pPr>
      <w:r>
        <w:t>The Abramowicz &amp; Jones</w:t>
      </w:r>
      <w:r w:rsidR="00497D55">
        <w:t xml:space="preserve"> [</w:t>
      </w:r>
      <w:r w:rsidR="00096326">
        <w:t>8</w:t>
      </w:r>
      <w:r w:rsidR="00497D55">
        <w:t>]</w:t>
      </w:r>
      <w:r>
        <w:t xml:space="preserve"> model was found to closely match the experimental results for empty circular aluminum tubes. However, it tends to overestimate or underestimate compressive strength depending on the D/t ratio. The study suggests modifications to better account for global buckling and the full plastic bending capacity.</w:t>
      </w:r>
    </w:p>
    <w:p w14:paraId="3A362F47" w14:textId="4CF3F1D3" w:rsidR="00532FDD" w:rsidRDefault="00497D55" w:rsidP="00532FDD">
      <w:pPr>
        <w:pStyle w:val="numitem"/>
        <w:ind w:left="312"/>
      </w:pPr>
      <w:r>
        <w:rPr>
          <w:rFonts w:hAnsi="Symbol"/>
        </w:rPr>
        <w:t xml:space="preserve">The </w:t>
      </w:r>
      <w:r w:rsidR="00532FDD">
        <w:t>British Standard</w:t>
      </w:r>
      <w:r>
        <w:t xml:space="preserve"> [1</w:t>
      </w:r>
      <w:r w:rsidR="00096326">
        <w:t>3</w:t>
      </w:r>
      <w:r>
        <w:t>]</w:t>
      </w:r>
      <w:r w:rsidR="00532FDD">
        <w:t xml:space="preserve"> equation effectively models the compressive strength of concrete-filled aluminum tubes, considering the interactions between aluminum and concrete under buckling conditions. However, it does not account for the effects of </w:t>
      </w:r>
      <w:r>
        <w:t>global buckling</w:t>
      </w:r>
      <w:r w:rsidR="00532FDD">
        <w:t>.</w:t>
      </w:r>
    </w:p>
    <w:p w14:paraId="4BC08744" w14:textId="77777777" w:rsidR="00532FDD" w:rsidRDefault="00532FDD" w:rsidP="00532FDD">
      <w:pPr>
        <w:pStyle w:val="numitem"/>
        <w:ind w:left="312"/>
      </w:pPr>
      <w:r>
        <w:t>The empirical models developed for both empty and foam-filled tubes demonstrate accuracy across different lengths, incorporating global buckling</w:t>
      </w:r>
      <w:r w:rsidR="00497D55">
        <w:t xml:space="preserve"> criteria</w:t>
      </w:r>
      <w:r>
        <w:t>.</w:t>
      </w:r>
    </w:p>
    <w:p w14:paraId="341218B1" w14:textId="52434AA0" w:rsidR="00532FDD" w:rsidRDefault="00532FDD" w:rsidP="00532FDD">
      <w:pPr>
        <w:pStyle w:val="numitem"/>
        <w:ind w:left="312"/>
      </w:pPr>
      <w:r>
        <w:t>The correlation analysis comparing empty tubes to foam-filled tubes revealed a reduced influence of the local buckling parameter (</w:t>
      </w:r>
      <w:r w:rsidR="00EA17EB">
        <w:t>D</w:t>
      </w:r>
      <w:r>
        <w:t>/t) on compressive resistance</w:t>
      </w:r>
      <w:r w:rsidR="00B9693B">
        <w:t>,</w:t>
      </w:r>
      <w:r>
        <w:t xml:space="preserve"> </w:t>
      </w:r>
      <w:r w:rsidR="00B9693B">
        <w:t>t</w:t>
      </w:r>
      <w:r>
        <w:t xml:space="preserve">his finding is consistent with the experimental </w:t>
      </w:r>
      <w:r w:rsidR="00B9693B">
        <w:t>investigations</w:t>
      </w:r>
      <w:r>
        <w:t>.</w:t>
      </w:r>
    </w:p>
    <w:p w14:paraId="7331756A" w14:textId="77777777" w:rsidR="00B83F82" w:rsidRPr="004E1B99" w:rsidRDefault="00B83F82" w:rsidP="00B83F82">
      <w:pPr>
        <w:ind w:firstLine="0"/>
      </w:pPr>
      <w:r w:rsidRPr="00B83F82">
        <w:t xml:space="preserve">High-density PU foam as an infill material exhibits significant composite behavior, enhancing tube strength through material optimization and providing substantial resistance to local buckling, with minimal influence from global buckling on compressive resistance. While existing CFT analytical models for both empty and foam-filled tubes are generally effective, they overlook length variation and global buckling factors. </w:t>
      </w:r>
      <w:r w:rsidR="00F955EF">
        <w:t>Despite the limited dataset, t</w:t>
      </w:r>
      <w:r w:rsidRPr="00B83F82">
        <w:t xml:space="preserve">his study pioneers the design practices for high-density PU foam-filled circular aluminum tubes, recommending an empirical model for predicting compressive strength with practical applications in construction. Future research could be </w:t>
      </w:r>
      <w:r w:rsidR="00F955EF" w:rsidRPr="00B83F82">
        <w:t>enhancing</w:t>
      </w:r>
      <w:r w:rsidR="00F955EF">
        <w:t xml:space="preserve"> the preliminary models proposed </w:t>
      </w:r>
      <w:r w:rsidRPr="00B83F82">
        <w:t>through</w:t>
      </w:r>
      <w:r w:rsidR="00F955EF">
        <w:t xml:space="preserve"> greater datasets developed through</w:t>
      </w:r>
      <w:r w:rsidRPr="00B83F82">
        <w:t xml:space="preserve"> numerical investigations under various conditions</w:t>
      </w:r>
      <w:r>
        <w:t>.</w:t>
      </w:r>
    </w:p>
    <w:bookmarkEnd w:id="17"/>
    <w:p w14:paraId="4B7267D5" w14:textId="77777777" w:rsidR="00B83F82" w:rsidRPr="00135FA9" w:rsidRDefault="00B83F82" w:rsidP="00B83F82">
      <w:pPr>
        <w:pStyle w:val="heading1"/>
        <w:numPr>
          <w:ilvl w:val="0"/>
          <w:numId w:val="0"/>
        </w:numPr>
        <w:ind w:left="567" w:hanging="567"/>
      </w:pPr>
      <w:r>
        <w:t>References</w:t>
      </w:r>
    </w:p>
    <w:p w14:paraId="7F0627D3" w14:textId="77777777" w:rsidR="00B83F82" w:rsidRPr="00EF24A2" w:rsidRDefault="00B83F82" w:rsidP="00B83F82">
      <w:pPr>
        <w:pStyle w:val="referenceitem"/>
      </w:pPr>
      <w:proofErr w:type="spellStart"/>
      <w:r w:rsidRPr="00EF24A2">
        <w:rPr>
          <w:shd w:val="clear" w:color="auto" w:fill="FFFFFF"/>
        </w:rPr>
        <w:t>Onsalung</w:t>
      </w:r>
      <w:proofErr w:type="spellEnd"/>
      <w:r w:rsidRPr="00EF24A2">
        <w:rPr>
          <w:shd w:val="clear" w:color="auto" w:fill="FFFFFF"/>
        </w:rPr>
        <w:t xml:space="preserve">, N., </w:t>
      </w:r>
      <w:proofErr w:type="spellStart"/>
      <w:r w:rsidRPr="00EF24A2">
        <w:rPr>
          <w:shd w:val="clear" w:color="auto" w:fill="FFFFFF"/>
        </w:rPr>
        <w:t>Thinvongpituk</w:t>
      </w:r>
      <w:proofErr w:type="spellEnd"/>
      <w:r w:rsidRPr="00EF24A2">
        <w:rPr>
          <w:shd w:val="clear" w:color="auto" w:fill="FFFFFF"/>
        </w:rPr>
        <w:t xml:space="preserve">, C., &amp; </w:t>
      </w:r>
      <w:proofErr w:type="spellStart"/>
      <w:r w:rsidRPr="00EF24A2">
        <w:rPr>
          <w:shd w:val="clear" w:color="auto" w:fill="FFFFFF"/>
        </w:rPr>
        <w:t>Painthong</w:t>
      </w:r>
      <w:proofErr w:type="spellEnd"/>
      <w:r w:rsidRPr="00EF24A2">
        <w:rPr>
          <w:shd w:val="clear" w:color="auto" w:fill="FFFFFF"/>
        </w:rPr>
        <w:t>, K. (2010). The influence of foam density on specific energy absorption of rectangular steel tubes. </w:t>
      </w:r>
      <w:r w:rsidRPr="00EF24A2">
        <w:rPr>
          <w:i/>
          <w:iCs/>
          <w:shd w:val="clear" w:color="auto" w:fill="FFFFFF"/>
        </w:rPr>
        <w:t>Energy Research Journal</w:t>
      </w:r>
      <w:r w:rsidRPr="00EF24A2">
        <w:rPr>
          <w:shd w:val="clear" w:color="auto" w:fill="FFFFFF"/>
        </w:rPr>
        <w:t>, </w:t>
      </w:r>
      <w:r w:rsidRPr="00EF24A2">
        <w:rPr>
          <w:i/>
          <w:iCs/>
          <w:shd w:val="clear" w:color="auto" w:fill="FFFFFF"/>
        </w:rPr>
        <w:t>1</w:t>
      </w:r>
      <w:r w:rsidRPr="00EF24A2">
        <w:rPr>
          <w:shd w:val="clear" w:color="auto" w:fill="FFFFFF"/>
        </w:rPr>
        <w:t>(2), 135-140.</w:t>
      </w:r>
    </w:p>
    <w:p w14:paraId="2A32B480" w14:textId="506A4D7F" w:rsidR="00B83F82" w:rsidRPr="00EF24A2" w:rsidRDefault="00B83F82" w:rsidP="00B83F82">
      <w:pPr>
        <w:pStyle w:val="referenceitem"/>
      </w:pPr>
      <w:proofErr w:type="spellStart"/>
      <w:r w:rsidRPr="00EF24A2">
        <w:rPr>
          <w:shd w:val="clear" w:color="auto" w:fill="FFFFFF"/>
        </w:rPr>
        <w:t>Onsalung</w:t>
      </w:r>
      <w:proofErr w:type="spellEnd"/>
      <w:r w:rsidRPr="00EF24A2">
        <w:rPr>
          <w:shd w:val="clear" w:color="auto" w:fill="FFFFFF"/>
        </w:rPr>
        <w:t xml:space="preserve">, N., </w:t>
      </w:r>
      <w:proofErr w:type="spellStart"/>
      <w:r w:rsidRPr="00EF24A2">
        <w:rPr>
          <w:shd w:val="clear" w:color="auto" w:fill="FFFFFF"/>
        </w:rPr>
        <w:t>Thinvongpituk</w:t>
      </w:r>
      <w:proofErr w:type="spellEnd"/>
      <w:r w:rsidRPr="00EF24A2">
        <w:rPr>
          <w:shd w:val="clear" w:color="auto" w:fill="FFFFFF"/>
        </w:rPr>
        <w:t xml:space="preserve">, C., &amp; </w:t>
      </w:r>
      <w:proofErr w:type="spellStart"/>
      <w:r w:rsidRPr="00EF24A2">
        <w:rPr>
          <w:shd w:val="clear" w:color="auto" w:fill="FFFFFF"/>
        </w:rPr>
        <w:t>Pianthong</w:t>
      </w:r>
      <w:proofErr w:type="spellEnd"/>
      <w:r w:rsidRPr="00EF24A2">
        <w:rPr>
          <w:shd w:val="clear" w:color="auto" w:fill="FFFFFF"/>
        </w:rPr>
        <w:t>, K. (2014). Impact response of circular aluminum tube filled with polyurethane foam. </w:t>
      </w:r>
      <w:r w:rsidRPr="00EF24A2">
        <w:rPr>
          <w:i/>
          <w:iCs/>
          <w:shd w:val="clear" w:color="auto" w:fill="FFFFFF"/>
        </w:rPr>
        <w:t>Materials transactions</w:t>
      </w:r>
      <w:r w:rsidRPr="00EF24A2">
        <w:rPr>
          <w:shd w:val="clear" w:color="auto" w:fill="FFFFFF"/>
        </w:rPr>
        <w:t>, </w:t>
      </w:r>
      <w:r w:rsidRPr="00EF24A2">
        <w:rPr>
          <w:i/>
          <w:iCs/>
          <w:shd w:val="clear" w:color="auto" w:fill="FFFFFF"/>
        </w:rPr>
        <w:t>55</w:t>
      </w:r>
      <w:r w:rsidRPr="00EF24A2">
        <w:rPr>
          <w:shd w:val="clear" w:color="auto" w:fill="FFFFFF"/>
        </w:rPr>
        <w:t>(1), 207-215.</w:t>
      </w:r>
      <w:r w:rsidR="006C29C4">
        <w:rPr>
          <w:shd w:val="clear" w:color="auto" w:fill="FFFFFF"/>
        </w:rPr>
        <w:t xml:space="preserve"> Doi: </w:t>
      </w:r>
      <w:hyperlink r:id="rId23" w:history="1">
        <w:r w:rsidR="006C29C4" w:rsidRPr="006C29C4">
          <w:rPr>
            <w:rFonts w:eastAsia="Meiryo" w:hint="eastAsia"/>
          </w:rPr>
          <w:t>10.2320/matertrans.M2013293</w:t>
        </w:r>
      </w:hyperlink>
    </w:p>
    <w:p w14:paraId="76436D3C" w14:textId="77777777" w:rsidR="00B83F82" w:rsidRPr="00EF24A2" w:rsidRDefault="00B83F82" w:rsidP="00B83F82">
      <w:pPr>
        <w:pStyle w:val="referenceitem"/>
      </w:pPr>
      <w:proofErr w:type="spellStart"/>
      <w:r w:rsidRPr="00EF24A2">
        <w:rPr>
          <w:shd w:val="clear" w:color="auto" w:fill="FFFFFF"/>
        </w:rPr>
        <w:t>Thinvongpituk</w:t>
      </w:r>
      <w:proofErr w:type="spellEnd"/>
      <w:r w:rsidRPr="00EF24A2">
        <w:rPr>
          <w:shd w:val="clear" w:color="auto" w:fill="FFFFFF"/>
        </w:rPr>
        <w:t xml:space="preserve">, C., </w:t>
      </w:r>
      <w:proofErr w:type="spellStart"/>
      <w:r w:rsidRPr="00EF24A2">
        <w:rPr>
          <w:shd w:val="clear" w:color="auto" w:fill="FFFFFF"/>
        </w:rPr>
        <w:t>Onsaloong</w:t>
      </w:r>
      <w:proofErr w:type="spellEnd"/>
      <w:r w:rsidRPr="00EF24A2">
        <w:rPr>
          <w:shd w:val="clear" w:color="auto" w:fill="FFFFFF"/>
        </w:rPr>
        <w:t xml:space="preserve">, N., &amp; </w:t>
      </w:r>
      <w:proofErr w:type="spellStart"/>
      <w:r w:rsidRPr="00EF24A2">
        <w:rPr>
          <w:shd w:val="clear" w:color="auto" w:fill="FFFFFF"/>
        </w:rPr>
        <w:t>Poonaya</w:t>
      </w:r>
      <w:proofErr w:type="spellEnd"/>
      <w:r w:rsidRPr="00EF24A2">
        <w:rPr>
          <w:shd w:val="clear" w:color="auto" w:fill="FFFFFF"/>
        </w:rPr>
        <w:t>, S. (2016). Crush characteristic of foam-filled circular steel and aluminum tubes under axial loading. In </w:t>
      </w:r>
      <w:r w:rsidRPr="00EF24A2">
        <w:rPr>
          <w:i/>
          <w:iCs/>
          <w:shd w:val="clear" w:color="auto" w:fill="FFFFFF"/>
        </w:rPr>
        <w:t>Proceedings of the world congress on engineering</w:t>
      </w:r>
      <w:r w:rsidRPr="00EF24A2">
        <w:rPr>
          <w:shd w:val="clear" w:color="auto" w:fill="FFFFFF"/>
        </w:rPr>
        <w:t> (Vol. 2).</w:t>
      </w:r>
    </w:p>
    <w:p w14:paraId="2AF6CF06" w14:textId="0B51A38F" w:rsidR="00B83F82" w:rsidRPr="00EF24A2" w:rsidRDefault="00B83F82" w:rsidP="006C29C4">
      <w:pPr>
        <w:pStyle w:val="referenceitem"/>
      </w:pPr>
      <w:bookmarkStart w:id="18" w:name="_Hlk175824276"/>
      <w:r w:rsidRPr="00EF24A2">
        <w:t xml:space="preserve">Padmaja, M., Murty, V. V. V. S., &amp; Ramana Rao, N. V. (2019). Comparative structural performance of composite filled tubes. International Journal for Computational Methods in </w:t>
      </w:r>
      <w:r w:rsidRPr="00EF24A2">
        <w:lastRenderedPageBreak/>
        <w:t>Engineering Science and Mechanics, 20(6), 477-486.</w:t>
      </w:r>
      <w:r w:rsidR="006C29C4">
        <w:t xml:space="preserve">  Doi:</w:t>
      </w:r>
      <w:r w:rsidR="006C29C4" w:rsidRPr="008F0EC7">
        <w:t>10.1080/15502287.2018.1534160</w:t>
      </w:r>
    </w:p>
    <w:bookmarkEnd w:id="18"/>
    <w:p w14:paraId="5970D379" w14:textId="2B317124" w:rsidR="00B83F82" w:rsidRPr="00EF24A2" w:rsidRDefault="00B83F82" w:rsidP="00B83F82">
      <w:pPr>
        <w:pStyle w:val="referenceitem"/>
      </w:pPr>
      <w:r w:rsidRPr="00EF24A2">
        <w:t xml:space="preserve">Padmaja, M., Murty, V. V. V. S., &amp; Rao, N. R. (2021). Quasi static axial compression of empty and PU foam filled circular </w:t>
      </w:r>
      <w:proofErr w:type="spellStart"/>
      <w:r w:rsidRPr="00EF24A2">
        <w:t>aluminium</w:t>
      </w:r>
      <w:proofErr w:type="spellEnd"/>
      <w:r w:rsidRPr="00EF24A2">
        <w:t xml:space="preserve"> and light gauge square steel tubes. Materials Today: Proceedings, 43, 2342-2347.</w:t>
      </w:r>
      <w:r w:rsidR="006C29C4">
        <w:t xml:space="preserve"> Doi:</w:t>
      </w:r>
      <w:r w:rsidR="006C29C4" w:rsidRPr="008F0EC7">
        <w:t xml:space="preserve"> 10.1016/j.matpr.2021.01.680</w:t>
      </w:r>
    </w:p>
    <w:p w14:paraId="586DAEEF" w14:textId="025E636A" w:rsidR="00B83F82" w:rsidRDefault="00B83F82" w:rsidP="00B83F82">
      <w:pPr>
        <w:pStyle w:val="referenceitem"/>
      </w:pPr>
      <w:r w:rsidRPr="00EF24A2">
        <w:t>Mantena, P., Murty, V. V. V. S., &amp; Rao, N. R. (2022). Flexural strength of composite high-density polyurethane foam filled light gauge square steel tubes. Materials Today: Proceedings., 51, 2403-2410.</w:t>
      </w:r>
      <w:r w:rsidR="006C29C4">
        <w:t xml:space="preserve"> Doi:</w:t>
      </w:r>
      <w:r w:rsidR="006C29C4" w:rsidRPr="008F0EC7">
        <w:t xml:space="preserve"> 10.1016/j.matpr.2021.11.591</w:t>
      </w:r>
    </w:p>
    <w:p w14:paraId="4FA02748" w14:textId="77777777" w:rsidR="006C29C4" w:rsidRDefault="00B83F82" w:rsidP="006C29C4">
      <w:pPr>
        <w:pStyle w:val="referenceitem"/>
      </w:pPr>
      <w:r w:rsidRPr="0093340C">
        <w:t xml:space="preserve">Alexander, J. M. (1960). An approximate analysis of the collapse of thin cylindrical shells under axial loading. </w:t>
      </w:r>
      <w:r w:rsidRPr="0093340C">
        <w:rPr>
          <w:i/>
          <w:iCs/>
        </w:rPr>
        <w:t>Quarterly Journal of Mechanics and Applied Mathematics</w:t>
      </w:r>
      <w:r w:rsidRPr="0093340C">
        <w:t xml:space="preserve">. </w:t>
      </w:r>
      <w:r w:rsidR="006C29C4">
        <w:t xml:space="preserve">Doi: </w:t>
      </w:r>
      <w:hyperlink r:id="rId24" w:history="1">
        <w:r w:rsidR="006C29C4" w:rsidRPr="006C29C4">
          <w:t>10.1093/</w:t>
        </w:r>
        <w:proofErr w:type="spellStart"/>
        <w:r w:rsidR="006C29C4" w:rsidRPr="006C29C4">
          <w:t>qjmam</w:t>
        </w:r>
        <w:proofErr w:type="spellEnd"/>
        <w:r w:rsidR="006C29C4" w:rsidRPr="006C29C4">
          <w:t>/13.1.10</w:t>
        </w:r>
      </w:hyperlink>
    </w:p>
    <w:p w14:paraId="47054D2D" w14:textId="77777777" w:rsidR="006C29C4" w:rsidRDefault="00B83F82" w:rsidP="006C29C4">
      <w:pPr>
        <w:pStyle w:val="referenceitem"/>
      </w:pPr>
      <w:r w:rsidRPr="0093340C">
        <w:t xml:space="preserve">Abramowicz, W., &amp; Jones, N. (1986). Dynamic progressive buckling of circular and square tubes. </w:t>
      </w:r>
      <w:r w:rsidRPr="006C29C4">
        <w:rPr>
          <w:i/>
          <w:iCs/>
        </w:rPr>
        <w:t>International Journal of Impact Engineering</w:t>
      </w:r>
      <w:r w:rsidRPr="0093340C">
        <w:t xml:space="preserve">, </w:t>
      </w:r>
      <w:r w:rsidRPr="006C29C4">
        <w:rPr>
          <w:i/>
          <w:iCs/>
        </w:rPr>
        <w:t>4</w:t>
      </w:r>
      <w:r w:rsidRPr="0093340C">
        <w:t xml:space="preserve">(4), 243–270. </w:t>
      </w:r>
      <w:r w:rsidR="006C29C4">
        <w:t xml:space="preserve">Doi: </w:t>
      </w:r>
      <w:r w:rsidR="006C29C4" w:rsidRPr="006C29C4">
        <w:rPr>
          <w:lang w:val="en-IN" w:eastAsia="en-IN"/>
        </w:rPr>
        <w:t>10.1016/0734-743</w:t>
      </w:r>
      <w:proofErr w:type="gramStart"/>
      <w:r w:rsidR="006C29C4" w:rsidRPr="006C29C4">
        <w:rPr>
          <w:lang w:val="en-IN" w:eastAsia="en-IN"/>
        </w:rPr>
        <w:t>X(</w:t>
      </w:r>
      <w:proofErr w:type="gramEnd"/>
      <w:r w:rsidR="006C29C4" w:rsidRPr="006C29C4">
        <w:rPr>
          <w:lang w:val="en-IN" w:eastAsia="en-IN"/>
        </w:rPr>
        <w:t>86)90017-5</w:t>
      </w:r>
    </w:p>
    <w:p w14:paraId="0BEF8A70" w14:textId="3E4EBB0F" w:rsidR="00B83F82" w:rsidRPr="006C29C4" w:rsidRDefault="00B83F82" w:rsidP="006C29C4">
      <w:pPr>
        <w:pStyle w:val="referenceitem"/>
      </w:pPr>
      <w:r w:rsidRPr="0093340C">
        <w:t xml:space="preserve">Wierzbicki, T., &amp; Bhat, S. U. (1986). A moving hinge solution for axisymmetric crushing of tubes. </w:t>
      </w:r>
      <w:r w:rsidRPr="006C29C4">
        <w:rPr>
          <w:i/>
          <w:iCs/>
        </w:rPr>
        <w:t>International Journal of Mechanical Sciences</w:t>
      </w:r>
      <w:r w:rsidRPr="0093340C">
        <w:t xml:space="preserve">, </w:t>
      </w:r>
      <w:r w:rsidRPr="006C29C4">
        <w:rPr>
          <w:i/>
          <w:iCs/>
        </w:rPr>
        <w:t>28</w:t>
      </w:r>
      <w:r w:rsidRPr="0093340C">
        <w:t xml:space="preserve">(3), 135–151. </w:t>
      </w:r>
      <w:r w:rsidR="006C29C4">
        <w:t xml:space="preserve">Doi: </w:t>
      </w:r>
      <w:r w:rsidR="006C29C4" w:rsidRPr="006C29C4">
        <w:rPr>
          <w:lang w:val="en-IN" w:eastAsia="en-IN"/>
        </w:rPr>
        <w:t>10.1016/0020-7403(86)90033-0</w:t>
      </w:r>
      <w:r w:rsidR="006C29C4" w:rsidRPr="006C29C4">
        <w:rPr>
          <w:rFonts w:ascii="Arial" w:hAnsi="Arial" w:cs="Arial"/>
          <w:color w:val="1F1F1F"/>
          <w:sz w:val="21"/>
          <w:szCs w:val="21"/>
          <w:lang w:val="en-IN" w:eastAsia="en-IN"/>
        </w:rPr>
        <w:t xml:space="preserve"> </w:t>
      </w:r>
    </w:p>
    <w:p w14:paraId="58FF1A5D" w14:textId="77777777" w:rsidR="006C29C4" w:rsidRPr="006C29C4" w:rsidRDefault="00B83F82" w:rsidP="006C29C4">
      <w:pPr>
        <w:pStyle w:val="referenceitem"/>
        <w:rPr>
          <w:lang w:val="en-IN"/>
        </w:rPr>
      </w:pPr>
      <w:r w:rsidRPr="0093340C">
        <w:rPr>
          <w:lang w:val="en-IN"/>
        </w:rPr>
        <w:t xml:space="preserve">Wierzbicki, T., Bhat, S. U., Abramowicz, W., &amp; Brodkin, D. (1992). Alexander revisited—A two folding </w:t>
      </w:r>
      <w:r w:rsidRPr="0093340C">
        <w:t xml:space="preserve">elements model of progressive crushing of tubes. </w:t>
      </w:r>
      <w:r w:rsidRPr="0093340C">
        <w:rPr>
          <w:i/>
          <w:iCs/>
        </w:rPr>
        <w:t>International Journal of Solids and Structures</w:t>
      </w:r>
      <w:r w:rsidRPr="0093340C">
        <w:t xml:space="preserve">, </w:t>
      </w:r>
      <w:r w:rsidRPr="0093340C">
        <w:rPr>
          <w:i/>
          <w:iCs/>
        </w:rPr>
        <w:t>29</w:t>
      </w:r>
      <w:r w:rsidRPr="0093340C">
        <w:t xml:space="preserve">(1977), </w:t>
      </w:r>
      <w:r w:rsidRPr="0093340C">
        <w:rPr>
          <w:lang w:val="en-IN"/>
        </w:rPr>
        <w:t xml:space="preserve">3269–3288. </w:t>
      </w:r>
      <w:r w:rsidR="006C29C4">
        <w:rPr>
          <w:lang w:val="en-IN"/>
        </w:rPr>
        <w:t xml:space="preserve">Doi: </w:t>
      </w:r>
      <w:r w:rsidR="006C29C4" w:rsidRPr="006C29C4">
        <w:t>10.1016/0020-7683(92)90040-Z</w:t>
      </w:r>
    </w:p>
    <w:p w14:paraId="16A2AD84" w14:textId="4F6FA459" w:rsidR="00B83F82" w:rsidRPr="006C29C4" w:rsidRDefault="00B83F82" w:rsidP="006C29C4">
      <w:pPr>
        <w:pStyle w:val="referenceitem"/>
        <w:rPr>
          <w:lang w:val="en-IN"/>
        </w:rPr>
      </w:pPr>
      <w:proofErr w:type="spellStart"/>
      <w:r w:rsidRPr="0093340C">
        <w:t>Singace</w:t>
      </w:r>
      <w:proofErr w:type="spellEnd"/>
      <w:r w:rsidRPr="0093340C">
        <w:t xml:space="preserve">, A. A., </w:t>
      </w:r>
      <w:proofErr w:type="spellStart"/>
      <w:r w:rsidRPr="0093340C">
        <w:t>Elsobky</w:t>
      </w:r>
      <w:proofErr w:type="spellEnd"/>
      <w:r w:rsidRPr="0093340C">
        <w:t xml:space="preserve">, H., &amp; Reddy, T. Y. (1995). On the eccentricity factor in the progressive crushing of tubes. </w:t>
      </w:r>
      <w:r w:rsidRPr="006C29C4">
        <w:rPr>
          <w:i/>
          <w:iCs/>
        </w:rPr>
        <w:t>International Journal of Solids and Structures</w:t>
      </w:r>
      <w:r w:rsidRPr="0093340C">
        <w:t xml:space="preserve">, </w:t>
      </w:r>
      <w:r w:rsidRPr="006C29C4">
        <w:rPr>
          <w:i/>
          <w:iCs/>
        </w:rPr>
        <w:t>32</w:t>
      </w:r>
      <w:r w:rsidRPr="0093340C">
        <w:t>(24), 3589–3602.</w:t>
      </w:r>
      <w:r w:rsidRPr="006C29C4">
        <w:rPr>
          <w:lang w:val="en-IN"/>
        </w:rPr>
        <w:t xml:space="preserve"> </w:t>
      </w:r>
      <w:r w:rsidR="006C29C4" w:rsidRPr="006C29C4">
        <w:rPr>
          <w:lang w:val="en-IN"/>
        </w:rPr>
        <w:t xml:space="preserve">Doi: </w:t>
      </w:r>
      <w:hyperlink r:id="rId25" w:tgtFrame="_blank" w:tooltip="Persistent link using digital object identifier" w:history="1">
        <w:r w:rsidR="006C29C4" w:rsidRPr="006C29C4">
          <w:rPr>
            <w:lang w:val="en-IN" w:eastAsia="en-IN"/>
          </w:rPr>
          <w:t>10.1016/0020-7683(95)00020-B</w:t>
        </w:r>
      </w:hyperlink>
      <w:r w:rsidR="006C29C4" w:rsidRPr="006C29C4">
        <w:rPr>
          <w:lang w:val="en-IN" w:eastAsia="en-IN"/>
        </w:rPr>
        <w:t xml:space="preserve"> </w:t>
      </w:r>
    </w:p>
    <w:p w14:paraId="79E76822" w14:textId="670D012E" w:rsidR="00B83F82" w:rsidRPr="006C29C4" w:rsidRDefault="00B83F82" w:rsidP="00B83F82">
      <w:pPr>
        <w:pStyle w:val="referenceitem"/>
      </w:pPr>
      <w:proofErr w:type="spellStart"/>
      <w:r w:rsidRPr="0093340C">
        <w:t>Guillow</w:t>
      </w:r>
      <w:proofErr w:type="spellEnd"/>
      <w:r w:rsidRPr="0093340C">
        <w:t xml:space="preserve">, S. R., Lu, G., &amp; Grzebieta, R. H. (2001). Quasi-static axial compression of thin-walled circular </w:t>
      </w:r>
      <w:proofErr w:type="spellStart"/>
      <w:r w:rsidRPr="0093340C">
        <w:t>aluminium</w:t>
      </w:r>
      <w:proofErr w:type="spellEnd"/>
      <w:r w:rsidRPr="0093340C">
        <w:t xml:space="preserve"> tubes. </w:t>
      </w:r>
      <w:r w:rsidRPr="0093340C">
        <w:rPr>
          <w:i/>
          <w:iCs/>
        </w:rPr>
        <w:t>International Journal of Mechanical Sciences</w:t>
      </w:r>
      <w:r w:rsidRPr="0093340C">
        <w:t xml:space="preserve">, </w:t>
      </w:r>
      <w:r w:rsidRPr="0093340C">
        <w:rPr>
          <w:i/>
          <w:iCs/>
        </w:rPr>
        <w:t>43</w:t>
      </w:r>
      <w:r w:rsidRPr="0093340C">
        <w:t>, 2103–2123.</w:t>
      </w:r>
      <w:r w:rsidR="006C29C4">
        <w:t xml:space="preserve"> Doi: </w:t>
      </w:r>
      <w:hyperlink r:id="rId26" w:tgtFrame="_blank" w:tooltip="Persistent link using digital object identifier" w:history="1">
        <w:r w:rsidR="006C29C4" w:rsidRPr="006C29C4">
          <w:t>10.1016/S0020-7403(01)00031-5</w:t>
        </w:r>
      </w:hyperlink>
    </w:p>
    <w:p w14:paraId="41C03733" w14:textId="0D9E9EA2" w:rsidR="006C29C4" w:rsidRPr="006C29C4" w:rsidRDefault="006C29C4" w:rsidP="00B83F82">
      <w:pPr>
        <w:pStyle w:val="referenceitem"/>
        <w:rPr>
          <w:lang w:val="en-IN"/>
        </w:rPr>
      </w:pPr>
      <w:r w:rsidRPr="006C29C4">
        <w:t>British Standards Institution. (1991). BS 8118-1:1991 Structural use of aluminum - Part 1: Code of practice for design (No. 8118-1). BSI.</w:t>
      </w:r>
    </w:p>
    <w:p w14:paraId="4433D68F" w14:textId="3429AAB6" w:rsidR="00B83F82" w:rsidRPr="0017162C" w:rsidRDefault="00B83F82" w:rsidP="00B83F82">
      <w:pPr>
        <w:pStyle w:val="referenceitem"/>
        <w:rPr>
          <w:lang w:val="en-IN"/>
        </w:rPr>
      </w:pPr>
      <w:r w:rsidRPr="0017162C">
        <w:rPr>
          <w:shd w:val="clear" w:color="auto" w:fill="FFFFFF"/>
        </w:rPr>
        <w:t xml:space="preserve">Xiao, Y., Wu, Q. W., Liu, Y., Wang, Y. J., Long, H., &amp; Hu, H. L. (2024, July). Optimization design of crashworthiness of polyurethane foam filled Origami thin wall square tube based on </w:t>
      </w:r>
      <w:proofErr w:type="gramStart"/>
      <w:r w:rsidRPr="0017162C">
        <w:rPr>
          <w:shd w:val="clear" w:color="auto" w:fill="FFFFFF"/>
        </w:rPr>
        <w:t>an</w:t>
      </w:r>
      <w:proofErr w:type="gramEnd"/>
      <w:r w:rsidRPr="0017162C">
        <w:rPr>
          <w:shd w:val="clear" w:color="auto" w:fill="FFFFFF"/>
        </w:rPr>
        <w:t xml:space="preserve"> surrogate model. In </w:t>
      </w:r>
      <w:r w:rsidRPr="0017162C">
        <w:rPr>
          <w:i/>
          <w:iCs/>
          <w:shd w:val="clear" w:color="auto" w:fill="FFFFFF"/>
        </w:rPr>
        <w:t>Structures</w:t>
      </w:r>
      <w:r w:rsidRPr="0017162C">
        <w:rPr>
          <w:shd w:val="clear" w:color="auto" w:fill="FFFFFF"/>
        </w:rPr>
        <w:t> (Vol. 65, p. 106713). Elsevier.</w:t>
      </w:r>
      <w:r w:rsidR="006C29C4">
        <w:rPr>
          <w:shd w:val="clear" w:color="auto" w:fill="FFFFFF"/>
        </w:rPr>
        <w:t xml:space="preserve"> Doi: </w:t>
      </w:r>
      <w:r w:rsidR="006C29C4" w:rsidRPr="006C29C4">
        <w:t>10.1016/j.istruc.2024.106713</w:t>
      </w:r>
    </w:p>
    <w:p w14:paraId="13BB16F3" w14:textId="3C99258D" w:rsidR="00B83F82" w:rsidRPr="0017162C" w:rsidRDefault="00B83F82" w:rsidP="00B83F82">
      <w:pPr>
        <w:pStyle w:val="referenceitem"/>
        <w:rPr>
          <w:lang w:val="en-IN"/>
        </w:rPr>
      </w:pPr>
      <w:r w:rsidRPr="0017162C">
        <w:rPr>
          <w:shd w:val="clear" w:color="auto" w:fill="FFFFFF"/>
        </w:rPr>
        <w:t>Naser, M. Z., Thai, S., &amp; Thai, H. T. (2021). Evaluating structural response of concrete-filled steel tubular columns through machine learning. </w:t>
      </w:r>
      <w:r w:rsidRPr="0017162C">
        <w:rPr>
          <w:i/>
          <w:iCs/>
          <w:shd w:val="clear" w:color="auto" w:fill="FFFFFF"/>
        </w:rPr>
        <w:t>Journal of Building Engineering</w:t>
      </w:r>
      <w:r w:rsidRPr="0017162C">
        <w:rPr>
          <w:shd w:val="clear" w:color="auto" w:fill="FFFFFF"/>
        </w:rPr>
        <w:t>, </w:t>
      </w:r>
      <w:r w:rsidRPr="0017162C">
        <w:rPr>
          <w:i/>
          <w:iCs/>
          <w:shd w:val="clear" w:color="auto" w:fill="FFFFFF"/>
        </w:rPr>
        <w:t>34</w:t>
      </w:r>
      <w:r w:rsidRPr="0017162C">
        <w:rPr>
          <w:shd w:val="clear" w:color="auto" w:fill="FFFFFF"/>
        </w:rPr>
        <w:t>, 101888.</w:t>
      </w:r>
      <w:r w:rsidR="00C76CF5">
        <w:rPr>
          <w:shd w:val="clear" w:color="auto" w:fill="FFFFFF"/>
        </w:rPr>
        <w:t xml:space="preserve"> Doi: </w:t>
      </w:r>
      <w:r w:rsidR="00C76CF5" w:rsidRPr="00C76CF5">
        <w:t>10.1016/j.jobe.2020.101888</w:t>
      </w:r>
    </w:p>
    <w:p w14:paraId="0B6C2A71" w14:textId="187F5713" w:rsidR="00B83F82" w:rsidRPr="00395711" w:rsidRDefault="00B83F82" w:rsidP="00B83F82">
      <w:pPr>
        <w:pStyle w:val="referenceitem"/>
      </w:pPr>
      <w:r w:rsidRPr="0017162C">
        <w:rPr>
          <w:shd w:val="clear" w:color="auto" w:fill="FFFFFF"/>
        </w:rPr>
        <w:t xml:space="preserve">Kaveh, A., </w:t>
      </w:r>
      <w:proofErr w:type="spellStart"/>
      <w:r w:rsidRPr="0017162C">
        <w:rPr>
          <w:shd w:val="clear" w:color="auto" w:fill="FFFFFF"/>
        </w:rPr>
        <w:t>Dadras</w:t>
      </w:r>
      <w:proofErr w:type="spellEnd"/>
      <w:r w:rsidRPr="0017162C">
        <w:rPr>
          <w:shd w:val="clear" w:color="auto" w:fill="FFFFFF"/>
        </w:rPr>
        <w:t xml:space="preserve"> </w:t>
      </w:r>
      <w:proofErr w:type="spellStart"/>
      <w:r w:rsidRPr="0017162C">
        <w:rPr>
          <w:shd w:val="clear" w:color="auto" w:fill="FFFFFF"/>
        </w:rPr>
        <w:t>Eslamlou</w:t>
      </w:r>
      <w:proofErr w:type="spellEnd"/>
      <w:r w:rsidRPr="0017162C">
        <w:rPr>
          <w:shd w:val="clear" w:color="auto" w:fill="FFFFFF"/>
        </w:rPr>
        <w:t>, A., Javadi, S. M., &amp; Geran Malek, N. (2021). Machine learning regression approaches for predicting the ultimate buckling load of variable-stiffness composite cylinders. </w:t>
      </w:r>
      <w:r w:rsidRPr="0017162C">
        <w:rPr>
          <w:i/>
          <w:iCs/>
          <w:shd w:val="clear" w:color="auto" w:fill="FFFFFF"/>
        </w:rPr>
        <w:t xml:space="preserve">Acta </w:t>
      </w:r>
      <w:proofErr w:type="spellStart"/>
      <w:r w:rsidRPr="0017162C">
        <w:rPr>
          <w:i/>
          <w:iCs/>
          <w:shd w:val="clear" w:color="auto" w:fill="FFFFFF"/>
        </w:rPr>
        <w:t>Mechanica</w:t>
      </w:r>
      <w:proofErr w:type="spellEnd"/>
      <w:r w:rsidRPr="0017162C">
        <w:rPr>
          <w:shd w:val="clear" w:color="auto" w:fill="FFFFFF"/>
        </w:rPr>
        <w:t>, </w:t>
      </w:r>
      <w:r w:rsidRPr="0017162C">
        <w:rPr>
          <w:i/>
          <w:iCs/>
          <w:shd w:val="clear" w:color="auto" w:fill="FFFFFF"/>
        </w:rPr>
        <w:t>232</w:t>
      </w:r>
      <w:r w:rsidRPr="0017162C">
        <w:rPr>
          <w:shd w:val="clear" w:color="auto" w:fill="FFFFFF"/>
        </w:rPr>
        <w:t>, 921-931.</w:t>
      </w:r>
      <w:r w:rsidR="00C76CF5">
        <w:rPr>
          <w:shd w:val="clear" w:color="auto" w:fill="FFFFFF"/>
        </w:rPr>
        <w:t xml:space="preserve"> Doi</w:t>
      </w:r>
      <w:r w:rsidR="00C76CF5" w:rsidRPr="00C76CF5">
        <w:t>: 10.1007/s00707-020-02878-2</w:t>
      </w:r>
    </w:p>
    <w:sectPr w:rsidR="00B83F82" w:rsidRPr="00395711" w:rsidSect="009F7FCE">
      <w:headerReference w:type="even" r:id="rId27"/>
      <w:headerReference w:type="default" r:id="rId28"/>
      <w:pgSz w:w="11906" w:h="16838" w:code="9"/>
      <w:pgMar w:top="2948" w:right="2494" w:bottom="2948" w:left="2494" w:header="2381" w:footer="2324" w:gutter="0"/>
      <w:cols w:space="227"/>
      <w:titlePg/>
      <w:docGrid w:linePitch="2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B1C94A" w14:textId="77777777" w:rsidR="00B51E58" w:rsidRDefault="00B51E58">
      <w:r>
        <w:separator/>
      </w:r>
    </w:p>
  </w:endnote>
  <w:endnote w:type="continuationSeparator" w:id="0">
    <w:p w14:paraId="120C0528" w14:textId="77777777" w:rsidR="00B51E58" w:rsidRDefault="00B51E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eiryo">
    <w:charset w:val="80"/>
    <w:family w:val="swiss"/>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6B46FC" w14:textId="77777777" w:rsidR="00B51E58" w:rsidRDefault="00B51E58" w:rsidP="009F7FCE">
      <w:pPr>
        <w:ind w:firstLine="0"/>
      </w:pPr>
      <w:r>
        <w:separator/>
      </w:r>
    </w:p>
  </w:footnote>
  <w:footnote w:type="continuationSeparator" w:id="0">
    <w:p w14:paraId="3486A8B5" w14:textId="77777777" w:rsidR="00B51E58" w:rsidRDefault="00B51E58" w:rsidP="009F7FCE">
      <w:pPr>
        <w:ind w:firstLin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9A72C8" w14:textId="77777777" w:rsidR="00707560" w:rsidRDefault="00707560" w:rsidP="00F321B4">
    <w:pPr>
      <w:pStyle w:val="Header"/>
    </w:pPr>
    <w:r>
      <w:fldChar w:fldCharType="begin"/>
    </w:r>
    <w:r>
      <w:instrText>PAGE   \* MERGEFORMAT</w:instrText>
    </w:r>
    <w:r>
      <w:fldChar w:fldCharType="separate"/>
    </w:r>
    <w:r>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5C4D9" w14:textId="77777777" w:rsidR="00707560" w:rsidRDefault="00707560" w:rsidP="002D48C5">
    <w:pPr>
      <w:pStyle w:val="Header"/>
      <w:jc w:val="right"/>
    </w:pPr>
    <w:r>
      <w:fldChar w:fldCharType="begin"/>
    </w:r>
    <w:r>
      <w:instrText>PAGE   \* MERGEFORMAT</w:instrText>
    </w:r>
    <w:r>
      <w:fldChar w:fldCharType="separate"/>
    </w:r>
    <w:r>
      <w:rPr>
        <w:noProof/>
      </w:rPr>
      <w:t>3</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A10257"/>
    <w:multiLevelType w:val="hybridMultilevel"/>
    <w:tmpl w:val="E292AA9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F397F84"/>
    <w:multiLevelType w:val="multilevel"/>
    <w:tmpl w:val="77162394"/>
    <w:styleLink w:val="itemization1"/>
    <w:lvl w:ilvl="0">
      <w:start w:val="1"/>
      <w:numFmt w:val="bullet"/>
      <w:pStyle w:val="bulletitem"/>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Times New Roman" w:hAnsi="Times New Roman" w:cs="Times New Roman" w:hint="default"/>
      </w:rPr>
    </w:lvl>
    <w:lvl w:ilvl="2">
      <w:start w:val="1"/>
      <w:numFmt w:val="bullet"/>
      <w:lvlText w:val="o"/>
      <w:lvlJc w:val="left"/>
      <w:pPr>
        <w:tabs>
          <w:tab w:val="num" w:pos="680"/>
        </w:tabs>
        <w:ind w:left="680" w:hanging="226"/>
      </w:pPr>
      <w:rPr>
        <w:rFonts w:ascii="Courier New" w:hAnsi="Courier New"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o"/>
      <w:lvlJc w:val="left"/>
      <w:pPr>
        <w:tabs>
          <w:tab w:val="num" w:pos="1134"/>
        </w:tabs>
        <w:ind w:left="1134" w:hanging="227"/>
      </w:pPr>
      <w:rPr>
        <w:rFonts w:ascii="Courier New" w:hAnsi="Courier New"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o"/>
      <w:lvlJc w:val="left"/>
      <w:pPr>
        <w:tabs>
          <w:tab w:val="num" w:pos="1814"/>
        </w:tabs>
        <w:ind w:left="1814" w:hanging="226"/>
      </w:pPr>
      <w:rPr>
        <w:rFonts w:ascii="Courier New" w:hAnsi="Courier New" w:hint="default"/>
      </w:rPr>
    </w:lvl>
    <w:lvl w:ilvl="8">
      <w:start w:val="1"/>
      <w:numFmt w:val="bullet"/>
      <w:lvlText w:val=""/>
      <w:lvlJc w:val="left"/>
      <w:pPr>
        <w:tabs>
          <w:tab w:val="num" w:pos="2041"/>
        </w:tabs>
        <w:ind w:left="2041" w:hanging="227"/>
      </w:pPr>
      <w:rPr>
        <w:rFonts w:ascii="Wingdings" w:hAnsi="Wingdings" w:hint="default"/>
      </w:rPr>
    </w:lvl>
  </w:abstractNum>
  <w:abstractNum w:abstractNumId="2" w15:restartNumberingAfterBreak="0">
    <w:nsid w:val="248E1442"/>
    <w:multiLevelType w:val="hybridMultilevel"/>
    <w:tmpl w:val="B8A631B4"/>
    <w:lvl w:ilvl="0" w:tplc="CDA2786E">
      <w:start w:val="1"/>
      <w:numFmt w:val="decimal"/>
      <w:lvlText w:val="[%1]"/>
      <w:lvlJc w:val="center"/>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 w15:restartNumberingAfterBreak="0">
    <w:nsid w:val="37532BE2"/>
    <w:multiLevelType w:val="hybridMultilevel"/>
    <w:tmpl w:val="7DAA7EFA"/>
    <w:lvl w:ilvl="0" w:tplc="D2D27240">
      <w:start w:val="1"/>
      <w:numFmt w:val="lowerLetter"/>
      <w:lvlText w:val="(%1)"/>
      <w:lvlJc w:val="left"/>
      <w:pPr>
        <w:ind w:left="1845" w:hanging="360"/>
      </w:pPr>
      <w:rPr>
        <w:rFonts w:hint="default"/>
      </w:rPr>
    </w:lvl>
    <w:lvl w:ilvl="1" w:tplc="40090019" w:tentative="1">
      <w:start w:val="1"/>
      <w:numFmt w:val="lowerLetter"/>
      <w:lvlText w:val="%2."/>
      <w:lvlJc w:val="left"/>
      <w:pPr>
        <w:ind w:left="2565" w:hanging="360"/>
      </w:pPr>
    </w:lvl>
    <w:lvl w:ilvl="2" w:tplc="4009001B" w:tentative="1">
      <w:start w:val="1"/>
      <w:numFmt w:val="lowerRoman"/>
      <w:lvlText w:val="%3."/>
      <w:lvlJc w:val="right"/>
      <w:pPr>
        <w:ind w:left="3285" w:hanging="180"/>
      </w:pPr>
    </w:lvl>
    <w:lvl w:ilvl="3" w:tplc="4009000F" w:tentative="1">
      <w:start w:val="1"/>
      <w:numFmt w:val="decimal"/>
      <w:lvlText w:val="%4."/>
      <w:lvlJc w:val="left"/>
      <w:pPr>
        <w:ind w:left="4005" w:hanging="360"/>
      </w:pPr>
    </w:lvl>
    <w:lvl w:ilvl="4" w:tplc="40090019" w:tentative="1">
      <w:start w:val="1"/>
      <w:numFmt w:val="lowerLetter"/>
      <w:lvlText w:val="%5."/>
      <w:lvlJc w:val="left"/>
      <w:pPr>
        <w:ind w:left="4725" w:hanging="360"/>
      </w:pPr>
    </w:lvl>
    <w:lvl w:ilvl="5" w:tplc="4009001B" w:tentative="1">
      <w:start w:val="1"/>
      <w:numFmt w:val="lowerRoman"/>
      <w:lvlText w:val="%6."/>
      <w:lvlJc w:val="right"/>
      <w:pPr>
        <w:ind w:left="5445" w:hanging="180"/>
      </w:pPr>
    </w:lvl>
    <w:lvl w:ilvl="6" w:tplc="4009000F" w:tentative="1">
      <w:start w:val="1"/>
      <w:numFmt w:val="decimal"/>
      <w:lvlText w:val="%7."/>
      <w:lvlJc w:val="left"/>
      <w:pPr>
        <w:ind w:left="6165" w:hanging="360"/>
      </w:pPr>
    </w:lvl>
    <w:lvl w:ilvl="7" w:tplc="40090019" w:tentative="1">
      <w:start w:val="1"/>
      <w:numFmt w:val="lowerLetter"/>
      <w:lvlText w:val="%8."/>
      <w:lvlJc w:val="left"/>
      <w:pPr>
        <w:ind w:left="6885" w:hanging="360"/>
      </w:pPr>
    </w:lvl>
    <w:lvl w:ilvl="8" w:tplc="4009001B" w:tentative="1">
      <w:start w:val="1"/>
      <w:numFmt w:val="lowerRoman"/>
      <w:lvlText w:val="%9."/>
      <w:lvlJc w:val="right"/>
      <w:pPr>
        <w:ind w:left="7605" w:hanging="180"/>
      </w:pPr>
    </w:lvl>
  </w:abstractNum>
  <w:abstractNum w:abstractNumId="4" w15:restartNumberingAfterBreak="0">
    <w:nsid w:val="52C33845"/>
    <w:multiLevelType w:val="multilevel"/>
    <w:tmpl w:val="6A026F2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6F404C9F"/>
    <w:multiLevelType w:val="multilevel"/>
    <w:tmpl w:val="BEDA5F46"/>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6" w15:restartNumberingAfterBreak="0">
    <w:nsid w:val="7738779A"/>
    <w:multiLevelType w:val="multilevel"/>
    <w:tmpl w:val="77EC1FB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7B274BC8"/>
    <w:multiLevelType w:val="multilevel"/>
    <w:tmpl w:val="72E65396"/>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7D9521C8"/>
    <w:multiLevelType w:val="multilevel"/>
    <w:tmpl w:val="7BCA5018"/>
    <w:styleLink w:val="referencelist"/>
    <w:lvl w:ilvl="0">
      <w:start w:val="1"/>
      <w:numFmt w:val="decimal"/>
      <w:pStyle w:val="referenceitem"/>
      <w:lvlText w:val="%1."/>
      <w:lvlJc w:val="right"/>
      <w:pPr>
        <w:tabs>
          <w:tab w:val="num" w:pos="340"/>
        </w:tabs>
        <w:ind w:left="340" w:hanging="113"/>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1"/>
  </w:num>
  <w:num w:numId="2">
    <w:abstractNumId w:val="1"/>
  </w:num>
  <w:num w:numId="3">
    <w:abstractNumId w:val="5"/>
  </w:num>
  <w:num w:numId="4">
    <w:abstractNumId w:val="5"/>
  </w:num>
  <w:num w:numId="5">
    <w:abstractNumId w:val="7"/>
  </w:num>
  <w:num w:numId="6">
    <w:abstractNumId w:val="7"/>
  </w:num>
  <w:num w:numId="7">
    <w:abstractNumId w:val="6"/>
  </w:num>
  <w:num w:numId="8">
    <w:abstractNumId w:val="8"/>
  </w:num>
  <w:num w:numId="9">
    <w:abstractNumId w:val="8"/>
  </w:num>
  <w:num w:numId="10">
    <w:abstractNumId w:val="4"/>
  </w:num>
  <w:num w:numId="11">
    <w:abstractNumId w:val="2"/>
  </w:num>
  <w:num w:numId="12">
    <w:abstractNumId w:val="0"/>
  </w:num>
  <w:num w:numId="13">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27"/>
  <w:autoHyphenation/>
  <w:hyphenationZone w:val="400"/>
  <w:doNotHyphenateCaps/>
  <w:evenAndOddHeader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7FCE"/>
    <w:rsid w:val="00071371"/>
    <w:rsid w:val="00085E06"/>
    <w:rsid w:val="00096326"/>
    <w:rsid w:val="000C36FD"/>
    <w:rsid w:val="000F04CC"/>
    <w:rsid w:val="00104F1C"/>
    <w:rsid w:val="00111902"/>
    <w:rsid w:val="00125D26"/>
    <w:rsid w:val="00130481"/>
    <w:rsid w:val="00143143"/>
    <w:rsid w:val="001431B0"/>
    <w:rsid w:val="00162A4F"/>
    <w:rsid w:val="00174110"/>
    <w:rsid w:val="001A02F0"/>
    <w:rsid w:val="001B52CC"/>
    <w:rsid w:val="001E1289"/>
    <w:rsid w:val="001E156E"/>
    <w:rsid w:val="001E2D8C"/>
    <w:rsid w:val="00204A0F"/>
    <w:rsid w:val="00207EEE"/>
    <w:rsid w:val="00215557"/>
    <w:rsid w:val="0023219A"/>
    <w:rsid w:val="002364CC"/>
    <w:rsid w:val="0024433A"/>
    <w:rsid w:val="00261D46"/>
    <w:rsid w:val="00275BA8"/>
    <w:rsid w:val="002813C0"/>
    <w:rsid w:val="00295E2D"/>
    <w:rsid w:val="002D48C5"/>
    <w:rsid w:val="002E6430"/>
    <w:rsid w:val="00304EC3"/>
    <w:rsid w:val="00330F32"/>
    <w:rsid w:val="0034058D"/>
    <w:rsid w:val="0035698A"/>
    <w:rsid w:val="003625A2"/>
    <w:rsid w:val="00373257"/>
    <w:rsid w:val="00395711"/>
    <w:rsid w:val="003A50D9"/>
    <w:rsid w:val="003B084F"/>
    <w:rsid w:val="003D0B65"/>
    <w:rsid w:val="003E102A"/>
    <w:rsid w:val="00405507"/>
    <w:rsid w:val="0041396F"/>
    <w:rsid w:val="00436118"/>
    <w:rsid w:val="00443EF5"/>
    <w:rsid w:val="00470AD0"/>
    <w:rsid w:val="00497D55"/>
    <w:rsid w:val="004A5551"/>
    <w:rsid w:val="004B47BC"/>
    <w:rsid w:val="004D6304"/>
    <w:rsid w:val="004E0E31"/>
    <w:rsid w:val="004E1879"/>
    <w:rsid w:val="0050108D"/>
    <w:rsid w:val="005011C3"/>
    <w:rsid w:val="00532FDD"/>
    <w:rsid w:val="00535D34"/>
    <w:rsid w:val="00573575"/>
    <w:rsid w:val="005827D5"/>
    <w:rsid w:val="006021F4"/>
    <w:rsid w:val="006211FD"/>
    <w:rsid w:val="00654907"/>
    <w:rsid w:val="006627F9"/>
    <w:rsid w:val="0068432E"/>
    <w:rsid w:val="00687796"/>
    <w:rsid w:val="006C29C4"/>
    <w:rsid w:val="006D2CCA"/>
    <w:rsid w:val="006E4928"/>
    <w:rsid w:val="007052F8"/>
    <w:rsid w:val="00706453"/>
    <w:rsid w:val="00707560"/>
    <w:rsid w:val="00727C10"/>
    <w:rsid w:val="0074441F"/>
    <w:rsid w:val="00751A8C"/>
    <w:rsid w:val="00752E96"/>
    <w:rsid w:val="00785F7A"/>
    <w:rsid w:val="00796D67"/>
    <w:rsid w:val="007B6DC6"/>
    <w:rsid w:val="007D1A32"/>
    <w:rsid w:val="007D3E2F"/>
    <w:rsid w:val="007D49AF"/>
    <w:rsid w:val="007E4F85"/>
    <w:rsid w:val="00815FAF"/>
    <w:rsid w:val="00817CE1"/>
    <w:rsid w:val="00841990"/>
    <w:rsid w:val="008A65C4"/>
    <w:rsid w:val="008A733C"/>
    <w:rsid w:val="008F2D4C"/>
    <w:rsid w:val="009051CE"/>
    <w:rsid w:val="0093322A"/>
    <w:rsid w:val="00944B4F"/>
    <w:rsid w:val="00946F55"/>
    <w:rsid w:val="00975A6C"/>
    <w:rsid w:val="00976E77"/>
    <w:rsid w:val="0099117B"/>
    <w:rsid w:val="009930E4"/>
    <w:rsid w:val="009B2539"/>
    <w:rsid w:val="009D39CA"/>
    <w:rsid w:val="009E11F0"/>
    <w:rsid w:val="009F1534"/>
    <w:rsid w:val="009F71A6"/>
    <w:rsid w:val="009F7FCE"/>
    <w:rsid w:val="00A12915"/>
    <w:rsid w:val="00A35521"/>
    <w:rsid w:val="00A37464"/>
    <w:rsid w:val="00A503A5"/>
    <w:rsid w:val="00A6344A"/>
    <w:rsid w:val="00A65374"/>
    <w:rsid w:val="00A7642E"/>
    <w:rsid w:val="00AC3AC0"/>
    <w:rsid w:val="00AC7F82"/>
    <w:rsid w:val="00AE42E8"/>
    <w:rsid w:val="00B23481"/>
    <w:rsid w:val="00B25E43"/>
    <w:rsid w:val="00B32872"/>
    <w:rsid w:val="00B51E58"/>
    <w:rsid w:val="00B762E7"/>
    <w:rsid w:val="00B83CD4"/>
    <w:rsid w:val="00B83F82"/>
    <w:rsid w:val="00B9693B"/>
    <w:rsid w:val="00BA1A7D"/>
    <w:rsid w:val="00C17301"/>
    <w:rsid w:val="00C338B1"/>
    <w:rsid w:val="00C76CF5"/>
    <w:rsid w:val="00C8715F"/>
    <w:rsid w:val="00CD25F0"/>
    <w:rsid w:val="00CD36A8"/>
    <w:rsid w:val="00CF36CB"/>
    <w:rsid w:val="00CF7B81"/>
    <w:rsid w:val="00D109E1"/>
    <w:rsid w:val="00D154AF"/>
    <w:rsid w:val="00D81350"/>
    <w:rsid w:val="00DA1865"/>
    <w:rsid w:val="00DB521F"/>
    <w:rsid w:val="00DC2CA9"/>
    <w:rsid w:val="00DD694D"/>
    <w:rsid w:val="00DF7B6B"/>
    <w:rsid w:val="00E06288"/>
    <w:rsid w:val="00E30E90"/>
    <w:rsid w:val="00E423F0"/>
    <w:rsid w:val="00E45561"/>
    <w:rsid w:val="00E603C7"/>
    <w:rsid w:val="00EA17EB"/>
    <w:rsid w:val="00EA3659"/>
    <w:rsid w:val="00EE5E2F"/>
    <w:rsid w:val="00EF6969"/>
    <w:rsid w:val="00F023ED"/>
    <w:rsid w:val="00F301FE"/>
    <w:rsid w:val="00F321B4"/>
    <w:rsid w:val="00F40E41"/>
    <w:rsid w:val="00F53C78"/>
    <w:rsid w:val="00F5461D"/>
    <w:rsid w:val="00F5580D"/>
    <w:rsid w:val="00F66F8C"/>
    <w:rsid w:val="00F955EF"/>
    <w:rsid w:val="00FA1B2E"/>
    <w:rsid w:val="00FD0434"/>
    <w:rsid w:val="00FF54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53E5A1C"/>
  <w15:docId w15:val="{DDB235C1-20B6-4C35-9145-52342BC1B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semiHidden="1"/>
    <w:lsdException w:name="heading 2" w:semiHidden="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semiHidden="1"/>
    <w:lsdException w:name="Book Title" w:semiHidden="1"/>
    <w:lsdException w:name="Bibliography" w:semiHidden="1"/>
    <w:lsdException w:name="TOC Heading" w:semiHidden="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E7667"/>
    <w:pPr>
      <w:overflowPunct w:val="0"/>
      <w:autoSpaceDE w:val="0"/>
      <w:autoSpaceDN w:val="0"/>
      <w:adjustRightInd w:val="0"/>
      <w:ind w:firstLine="227"/>
      <w:jc w:val="both"/>
      <w:textAlignment w:val="baseline"/>
    </w:pPr>
  </w:style>
  <w:style w:type="paragraph" w:styleId="Heading10">
    <w:name w:val="heading 1"/>
    <w:basedOn w:val="Normal"/>
    <w:next w:val="p1a"/>
    <w:semiHidden/>
    <w:unhideWhenUsed/>
    <w:qFormat/>
    <w:pPr>
      <w:keepNext/>
      <w:keepLines/>
      <w:suppressAutoHyphens/>
      <w:spacing w:before="360" w:after="240" w:line="300" w:lineRule="atLeast"/>
      <w:ind w:left="567" w:hanging="567"/>
      <w:jc w:val="left"/>
      <w:outlineLvl w:val="0"/>
    </w:pPr>
    <w:rPr>
      <w:b/>
      <w:sz w:val="24"/>
    </w:rPr>
  </w:style>
  <w:style w:type="paragraph" w:styleId="Heading20">
    <w:name w:val="heading 2"/>
    <w:basedOn w:val="Normal"/>
    <w:next w:val="p1a"/>
    <w:semiHidden/>
    <w:unhideWhenUsed/>
    <w:qFormat/>
    <w:pPr>
      <w:keepNext/>
      <w:keepLines/>
      <w:suppressAutoHyphens/>
      <w:spacing w:before="360" w:after="160"/>
      <w:ind w:left="567" w:hanging="567"/>
      <w:jc w:val="left"/>
      <w:outlineLvl w:val="1"/>
    </w:pPr>
    <w:rPr>
      <w:b/>
    </w:rPr>
  </w:style>
  <w:style w:type="paragraph" w:styleId="Heading3">
    <w:name w:val="heading 3"/>
    <w:basedOn w:val="Normal"/>
    <w:next w:val="Normal"/>
    <w:qFormat/>
    <w:pPr>
      <w:spacing w:before="360"/>
      <w:ind w:firstLine="0"/>
      <w:outlineLvl w:val="2"/>
    </w:pPr>
  </w:style>
  <w:style w:type="paragraph" w:styleId="Heading4">
    <w:name w:val="heading 4"/>
    <w:basedOn w:val="Normal"/>
    <w:next w:val="Normal"/>
    <w:qFormat/>
    <w:pPr>
      <w:spacing w:before="240"/>
      <w:ind w:firstLine="0"/>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pPr>
      <w:spacing w:before="600" w:after="360" w:line="220" w:lineRule="atLeast"/>
      <w:ind w:left="567" w:right="567"/>
      <w:contextualSpacing/>
    </w:pPr>
    <w:rPr>
      <w:sz w:val="18"/>
    </w:rPr>
  </w:style>
  <w:style w:type="paragraph" w:customStyle="1" w:styleId="address">
    <w:name w:val="address"/>
    <w:basedOn w:val="Normal"/>
    <w:pPr>
      <w:spacing w:after="200" w:line="220" w:lineRule="atLeast"/>
      <w:ind w:firstLine="0"/>
      <w:contextualSpacing/>
      <w:jc w:val="center"/>
    </w:pPr>
    <w:rPr>
      <w:sz w:val="18"/>
    </w:rPr>
  </w:style>
  <w:style w:type="numbering" w:customStyle="1" w:styleId="arabnumitem">
    <w:name w:val="arabnumitem"/>
    <w:basedOn w:val="NoList"/>
    <w:pPr>
      <w:numPr>
        <w:numId w:val="5"/>
      </w:numPr>
    </w:pPr>
  </w:style>
  <w:style w:type="paragraph" w:customStyle="1" w:styleId="author">
    <w:name w:val="author"/>
    <w:basedOn w:val="Normal"/>
    <w:next w:val="address"/>
    <w:pPr>
      <w:spacing w:after="200" w:line="220" w:lineRule="atLeast"/>
      <w:ind w:firstLine="0"/>
      <w:jc w:val="center"/>
    </w:pPr>
  </w:style>
  <w:style w:type="paragraph" w:customStyle="1" w:styleId="bulletitem">
    <w:name w:val="bulletitem"/>
    <w:basedOn w:val="Normal"/>
    <w:pPr>
      <w:numPr>
        <w:numId w:val="2"/>
      </w:numPr>
      <w:spacing w:before="160" w:after="160"/>
      <w:contextualSpacing/>
    </w:pPr>
  </w:style>
  <w:style w:type="paragraph" w:customStyle="1" w:styleId="dashitem">
    <w:name w:val="dashitem"/>
    <w:basedOn w:val="Normal"/>
    <w:pPr>
      <w:numPr>
        <w:numId w:val="4"/>
      </w:numPr>
      <w:spacing w:before="160" w:after="160"/>
      <w:contextualSpacing/>
    </w:pPr>
  </w:style>
  <w:style w:type="character" w:customStyle="1" w:styleId="e-mail">
    <w:name w:val="e-mail"/>
    <w:basedOn w:val="DefaultParagraphFont"/>
    <w:rPr>
      <w:rFonts w:ascii="Courier" w:hAnsi="Courier"/>
      <w:noProof/>
    </w:rPr>
  </w:style>
  <w:style w:type="paragraph" w:customStyle="1" w:styleId="equation">
    <w:name w:val="equation"/>
    <w:basedOn w:val="Normal"/>
    <w:next w:val="Normal"/>
    <w:pPr>
      <w:tabs>
        <w:tab w:val="center" w:pos="3289"/>
        <w:tab w:val="right" w:pos="6917"/>
      </w:tabs>
      <w:spacing w:before="160" w:after="160"/>
      <w:ind w:firstLine="0"/>
    </w:pPr>
  </w:style>
  <w:style w:type="paragraph" w:customStyle="1" w:styleId="figurecaption">
    <w:name w:val="figurecaption"/>
    <w:basedOn w:val="Normal"/>
    <w:next w:val="Normal"/>
    <w:pPr>
      <w:keepLines/>
      <w:spacing w:before="120" w:after="240" w:line="220" w:lineRule="atLeast"/>
      <w:ind w:firstLine="0"/>
      <w:jc w:val="center"/>
    </w:pPr>
    <w:rPr>
      <w:sz w:val="18"/>
    </w:rPr>
  </w:style>
  <w:style w:type="character" w:styleId="FootnoteReference">
    <w:name w:val="footnote reference"/>
    <w:basedOn w:val="DefaultParagraphFont"/>
    <w:semiHidden/>
    <w:unhideWhenUsed/>
    <w:rPr>
      <w:position w:val="0"/>
      <w:vertAlign w:val="superscript"/>
    </w:rPr>
  </w:style>
  <w:style w:type="paragraph" w:styleId="Footer">
    <w:name w:val="footer"/>
    <w:basedOn w:val="Normal"/>
    <w:semiHidden/>
    <w:unhideWhenUsed/>
  </w:style>
  <w:style w:type="paragraph" w:customStyle="1" w:styleId="heading1">
    <w:name w:val="heading1"/>
    <w:basedOn w:val="Normal"/>
    <w:next w:val="p1a"/>
    <w:qFormat/>
    <w:pPr>
      <w:keepNext/>
      <w:keepLines/>
      <w:numPr>
        <w:numId w:val="7"/>
      </w:numPr>
      <w:suppressAutoHyphens/>
      <w:spacing w:before="360" w:after="240" w:line="300" w:lineRule="atLeast"/>
      <w:jc w:val="left"/>
      <w:outlineLvl w:val="0"/>
    </w:pPr>
    <w:rPr>
      <w:b/>
      <w:sz w:val="24"/>
    </w:rPr>
  </w:style>
  <w:style w:type="paragraph" w:customStyle="1" w:styleId="heading2">
    <w:name w:val="heading2"/>
    <w:basedOn w:val="Normal"/>
    <w:next w:val="p1a"/>
    <w:qFormat/>
    <w:pPr>
      <w:keepNext/>
      <w:keepLines/>
      <w:numPr>
        <w:ilvl w:val="1"/>
        <w:numId w:val="7"/>
      </w:numPr>
      <w:suppressAutoHyphens/>
      <w:spacing w:before="360" w:after="160"/>
      <w:jc w:val="left"/>
      <w:outlineLvl w:val="1"/>
    </w:pPr>
    <w:rPr>
      <w:b/>
    </w:rPr>
  </w:style>
  <w:style w:type="character" w:customStyle="1" w:styleId="heading30">
    <w:name w:val="heading3"/>
    <w:basedOn w:val="DefaultParagraphFont"/>
    <w:rPr>
      <w:b/>
    </w:rPr>
  </w:style>
  <w:style w:type="character" w:customStyle="1" w:styleId="heading40">
    <w:name w:val="heading4"/>
    <w:basedOn w:val="DefaultParagraphFont"/>
    <w:rPr>
      <w:i/>
    </w:rPr>
  </w:style>
  <w:style w:type="numbering" w:customStyle="1" w:styleId="headings">
    <w:name w:val="headings"/>
    <w:basedOn w:val="arabnumitem"/>
    <w:pPr>
      <w:numPr>
        <w:numId w:val="7"/>
      </w:numPr>
    </w:pPr>
  </w:style>
  <w:style w:type="character" w:styleId="Hyperlink">
    <w:name w:val="Hyperlink"/>
    <w:basedOn w:val="DefaultParagraphFont"/>
    <w:semiHidden/>
    <w:unhideWhenUsed/>
    <w:rPr>
      <w:color w:val="auto"/>
      <w:u w:val="none"/>
    </w:rPr>
  </w:style>
  <w:style w:type="paragraph" w:customStyle="1" w:styleId="image">
    <w:name w:val="image"/>
    <w:basedOn w:val="Normal"/>
    <w:next w:val="Normal"/>
    <w:pPr>
      <w:spacing w:before="240" w:after="120"/>
      <w:ind w:firstLine="0"/>
      <w:jc w:val="center"/>
    </w:pPr>
  </w:style>
  <w:style w:type="numbering" w:customStyle="1" w:styleId="itemization1">
    <w:name w:val="itemization1"/>
    <w:basedOn w:val="NoList"/>
    <w:pPr>
      <w:numPr>
        <w:numId w:val="1"/>
      </w:numPr>
    </w:pPr>
  </w:style>
  <w:style w:type="numbering" w:customStyle="1" w:styleId="itemization2">
    <w:name w:val="itemization2"/>
    <w:basedOn w:val="NoList"/>
    <w:pPr>
      <w:numPr>
        <w:numId w:val="3"/>
      </w:numPr>
    </w:pPr>
  </w:style>
  <w:style w:type="paragraph" w:customStyle="1" w:styleId="keywords">
    <w:name w:val="keywords"/>
    <w:basedOn w:val="abstract"/>
    <w:next w:val="heading1"/>
    <w:pPr>
      <w:spacing w:before="220"/>
      <w:ind w:firstLine="0"/>
      <w:contextualSpacing w:val="0"/>
      <w:jc w:val="left"/>
    </w:pPr>
  </w:style>
  <w:style w:type="paragraph" w:styleId="Header">
    <w:name w:val="header"/>
    <w:basedOn w:val="Normal"/>
    <w:semiHidden/>
    <w:unhideWhenUsed/>
    <w:pPr>
      <w:tabs>
        <w:tab w:val="center" w:pos="4536"/>
        <w:tab w:val="right" w:pos="9072"/>
      </w:tabs>
      <w:ind w:firstLine="0"/>
    </w:pPr>
    <w:rPr>
      <w:sz w:val="18"/>
      <w:szCs w:val="18"/>
    </w:rPr>
  </w:style>
  <w:style w:type="paragraph" w:customStyle="1" w:styleId="numitem">
    <w:name w:val="numitem"/>
    <w:basedOn w:val="Normal"/>
    <w:pPr>
      <w:numPr>
        <w:numId w:val="6"/>
      </w:numPr>
      <w:spacing w:before="160" w:after="160"/>
      <w:contextualSpacing/>
    </w:pPr>
  </w:style>
  <w:style w:type="paragraph" w:customStyle="1" w:styleId="p1a">
    <w:name w:val="p1a"/>
    <w:basedOn w:val="Normal"/>
    <w:next w:val="Normal"/>
    <w:pPr>
      <w:ind w:firstLine="0"/>
    </w:pPr>
  </w:style>
  <w:style w:type="paragraph" w:customStyle="1" w:styleId="programcode">
    <w:name w:val="programcode"/>
    <w:basedOn w:val="Normal"/>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60" w:after="160"/>
      <w:ind w:firstLine="0"/>
      <w:contextualSpacing/>
      <w:jc w:val="left"/>
    </w:pPr>
    <w:rPr>
      <w:rFonts w:ascii="Courier" w:hAnsi="Courier"/>
    </w:rPr>
  </w:style>
  <w:style w:type="paragraph" w:customStyle="1" w:styleId="referenceitem">
    <w:name w:val="referenceitem"/>
    <w:basedOn w:val="Normal"/>
    <w:rsid w:val="00B83F82"/>
    <w:pPr>
      <w:numPr>
        <w:numId w:val="9"/>
      </w:numPr>
      <w:spacing w:line="220" w:lineRule="atLeast"/>
    </w:pPr>
    <w:rPr>
      <w:sz w:val="18"/>
    </w:rPr>
  </w:style>
  <w:style w:type="numbering" w:customStyle="1" w:styleId="referencelist">
    <w:name w:val="referencelist"/>
    <w:basedOn w:val="NoList"/>
    <w:semiHidden/>
    <w:pPr>
      <w:numPr>
        <w:numId w:val="8"/>
      </w:numPr>
    </w:pPr>
  </w:style>
  <w:style w:type="paragraph" w:customStyle="1" w:styleId="runninghead-left">
    <w:name w:val="running head - left"/>
    <w:basedOn w:val="Normal"/>
    <w:pPr>
      <w:ind w:firstLine="0"/>
      <w:jc w:val="left"/>
    </w:pPr>
    <w:rPr>
      <w:sz w:val="18"/>
      <w:szCs w:val="18"/>
    </w:rPr>
  </w:style>
  <w:style w:type="paragraph" w:customStyle="1" w:styleId="runninghead-right">
    <w:name w:val="running head - right"/>
    <w:basedOn w:val="Normal"/>
    <w:pPr>
      <w:ind w:firstLine="0"/>
      <w:jc w:val="right"/>
    </w:pPr>
    <w:rPr>
      <w:bCs/>
      <w:sz w:val="18"/>
      <w:szCs w:val="18"/>
    </w:rPr>
  </w:style>
  <w:style w:type="character" w:styleId="PageNumber">
    <w:name w:val="page number"/>
    <w:basedOn w:val="DefaultParagraphFont"/>
    <w:semiHidden/>
    <w:unhideWhenUsed/>
    <w:rPr>
      <w:sz w:val="18"/>
    </w:rPr>
  </w:style>
  <w:style w:type="paragraph" w:customStyle="1" w:styleId="papertitle">
    <w:name w:val="papertitle"/>
    <w:basedOn w:val="Normal"/>
    <w:next w:val="author"/>
    <w:pPr>
      <w:keepNext/>
      <w:keepLines/>
      <w:suppressAutoHyphens/>
      <w:spacing w:after="480" w:line="360" w:lineRule="atLeast"/>
      <w:ind w:firstLine="0"/>
      <w:jc w:val="center"/>
    </w:pPr>
    <w:rPr>
      <w:b/>
      <w:sz w:val="28"/>
    </w:rPr>
  </w:style>
  <w:style w:type="paragraph" w:customStyle="1" w:styleId="papersubtitle">
    <w:name w:val="papersubtitle"/>
    <w:basedOn w:val="papertitle"/>
    <w:next w:val="author"/>
    <w:pPr>
      <w:spacing w:before="120" w:line="280" w:lineRule="atLeast"/>
    </w:pPr>
    <w:rPr>
      <w:sz w:val="24"/>
    </w:rPr>
  </w:style>
  <w:style w:type="paragraph" w:customStyle="1" w:styleId="tablecaption">
    <w:name w:val="tablecaption"/>
    <w:basedOn w:val="Normal"/>
    <w:next w:val="Normal"/>
    <w:pPr>
      <w:keepNext/>
      <w:keepLines/>
      <w:spacing w:before="240" w:after="120" w:line="220" w:lineRule="atLeast"/>
      <w:ind w:firstLine="0"/>
      <w:jc w:val="center"/>
    </w:pPr>
    <w:rPr>
      <w:sz w:val="18"/>
    </w:rPr>
  </w:style>
  <w:style w:type="character" w:customStyle="1" w:styleId="url">
    <w:name w:val="url"/>
    <w:basedOn w:val="DefaultParagraphFont"/>
    <w:rPr>
      <w:rFonts w:ascii="Courier" w:hAnsi="Courier"/>
      <w:noProof/>
    </w:rPr>
  </w:style>
  <w:style w:type="character" w:customStyle="1" w:styleId="ORCID">
    <w:name w:val="ORCID"/>
    <w:basedOn w:val="DefaultParagraphFont"/>
    <w:rPr>
      <w:position w:val="0"/>
      <w:vertAlign w:val="superscript"/>
    </w:rPr>
  </w:style>
  <w:style w:type="paragraph" w:styleId="FootnoteText">
    <w:name w:val="footnote text"/>
    <w:basedOn w:val="Normal"/>
    <w:semiHidden/>
    <w:pPr>
      <w:spacing w:line="220" w:lineRule="atLeast"/>
      <w:ind w:left="227" w:hanging="227"/>
    </w:pPr>
    <w:rPr>
      <w:sz w:val="18"/>
    </w:rPr>
  </w:style>
  <w:style w:type="paragraph" w:customStyle="1" w:styleId="ReferenceLine">
    <w:name w:val="ReferenceLine"/>
    <w:basedOn w:val="p1a"/>
    <w:semiHidden/>
    <w:unhideWhenUsed/>
    <w:pPr>
      <w:spacing w:line="200" w:lineRule="exact"/>
    </w:pPr>
    <w:rPr>
      <w:sz w:val="16"/>
    </w:rPr>
  </w:style>
  <w:style w:type="character" w:customStyle="1" w:styleId="cf01">
    <w:name w:val="cf01"/>
    <w:basedOn w:val="DefaultParagraphFont"/>
    <w:rsid w:val="00A35521"/>
    <w:rPr>
      <w:rFonts w:ascii="Segoe UI" w:hAnsi="Segoe UI" w:cs="Segoe UI" w:hint="default"/>
      <w:color w:val="262626"/>
      <w:sz w:val="21"/>
      <w:szCs w:val="21"/>
    </w:rPr>
  </w:style>
  <w:style w:type="character" w:styleId="CommentReference">
    <w:name w:val="annotation reference"/>
    <w:basedOn w:val="DefaultParagraphFont"/>
    <w:semiHidden/>
    <w:unhideWhenUsed/>
    <w:rsid w:val="00A35521"/>
    <w:rPr>
      <w:sz w:val="16"/>
      <w:szCs w:val="16"/>
    </w:rPr>
  </w:style>
  <w:style w:type="paragraph" w:styleId="CommentText">
    <w:name w:val="annotation text"/>
    <w:basedOn w:val="Normal"/>
    <w:link w:val="CommentTextChar"/>
    <w:semiHidden/>
    <w:unhideWhenUsed/>
    <w:rsid w:val="00A35521"/>
    <w:pPr>
      <w:spacing w:line="240" w:lineRule="auto"/>
    </w:pPr>
  </w:style>
  <w:style w:type="character" w:customStyle="1" w:styleId="CommentTextChar">
    <w:name w:val="Comment Text Char"/>
    <w:basedOn w:val="DefaultParagraphFont"/>
    <w:link w:val="CommentText"/>
    <w:semiHidden/>
    <w:rsid w:val="00A35521"/>
  </w:style>
  <w:style w:type="paragraph" w:styleId="BalloonText">
    <w:name w:val="Balloon Text"/>
    <w:basedOn w:val="Normal"/>
    <w:link w:val="BalloonTextChar"/>
    <w:semiHidden/>
    <w:rsid w:val="00A35521"/>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A35521"/>
    <w:rPr>
      <w:rFonts w:ascii="Segoe UI" w:hAnsi="Segoe UI" w:cs="Segoe UI"/>
      <w:sz w:val="18"/>
      <w:szCs w:val="18"/>
    </w:rPr>
  </w:style>
  <w:style w:type="table" w:styleId="TableGrid">
    <w:name w:val="Table Grid"/>
    <w:basedOn w:val="TableNormal"/>
    <w:uiPriority w:val="39"/>
    <w:rsid w:val="00A35521"/>
    <w:pPr>
      <w:spacing w:line="240" w:lineRule="auto"/>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Normal"/>
    <w:link w:val="tableChar"/>
    <w:qFormat/>
    <w:rsid w:val="00EE5E2F"/>
    <w:pPr>
      <w:widowControl w:val="0"/>
      <w:overflowPunct/>
      <w:autoSpaceDE/>
      <w:autoSpaceDN/>
      <w:adjustRightInd/>
      <w:spacing w:after="80" w:line="200" w:lineRule="exact"/>
      <w:ind w:firstLine="0"/>
      <w:jc w:val="left"/>
      <w:textAlignment w:val="auto"/>
    </w:pPr>
    <w:rPr>
      <w:rFonts w:eastAsia="SimSun"/>
      <w:sz w:val="16"/>
      <w:lang w:val="en-GB"/>
    </w:rPr>
  </w:style>
  <w:style w:type="character" w:customStyle="1" w:styleId="tableChar">
    <w:name w:val="table Char"/>
    <w:basedOn w:val="DefaultParagraphFont"/>
    <w:link w:val="table"/>
    <w:rsid w:val="00EE5E2F"/>
    <w:rPr>
      <w:rFonts w:eastAsia="SimSun"/>
      <w:sz w:val="16"/>
      <w:lang w:val="en-GB"/>
    </w:rPr>
  </w:style>
  <w:style w:type="paragraph" w:styleId="ListParagraph">
    <w:name w:val="List Paragraph"/>
    <w:basedOn w:val="Normal"/>
    <w:uiPriority w:val="34"/>
    <w:qFormat/>
    <w:rsid w:val="00B83F82"/>
    <w:pPr>
      <w:overflowPunct/>
      <w:autoSpaceDE/>
      <w:autoSpaceDN/>
      <w:adjustRightInd/>
      <w:spacing w:line="360" w:lineRule="auto"/>
      <w:ind w:left="720" w:firstLine="0"/>
      <w:contextualSpacing/>
      <w:textAlignment w:val="auto"/>
    </w:pPr>
    <w:rPr>
      <w:rFonts w:eastAsiaTheme="minorHAnsi" w:cstheme="minorBidi"/>
      <w:sz w:val="24"/>
      <w:szCs w:val="22"/>
    </w:rPr>
  </w:style>
  <w:style w:type="paragraph" w:styleId="NormalWeb">
    <w:name w:val="Normal (Web)"/>
    <w:basedOn w:val="Normal"/>
    <w:uiPriority w:val="99"/>
    <w:semiHidden/>
    <w:unhideWhenUsed/>
    <w:rsid w:val="00532FDD"/>
    <w:pPr>
      <w:overflowPunct/>
      <w:autoSpaceDE/>
      <w:autoSpaceDN/>
      <w:adjustRightInd/>
      <w:spacing w:before="100" w:beforeAutospacing="1" w:after="100" w:afterAutospacing="1" w:line="240" w:lineRule="auto"/>
      <w:ind w:firstLine="0"/>
      <w:jc w:val="left"/>
      <w:textAlignment w:val="auto"/>
    </w:pPr>
    <w:rPr>
      <w:sz w:val="24"/>
      <w:szCs w:val="24"/>
      <w:lang w:val="en-IN" w:eastAsia="en-IN"/>
    </w:rPr>
  </w:style>
  <w:style w:type="character" w:styleId="Strong">
    <w:name w:val="Strong"/>
    <w:basedOn w:val="DefaultParagraphFont"/>
    <w:uiPriority w:val="22"/>
    <w:qFormat/>
    <w:rsid w:val="00532FDD"/>
    <w:rPr>
      <w:b/>
      <w:bCs/>
    </w:rPr>
  </w:style>
  <w:style w:type="character" w:customStyle="1" w:styleId="mord">
    <w:name w:val="mord"/>
    <w:basedOn w:val="DefaultParagraphFont"/>
    <w:rsid w:val="00817CE1"/>
  </w:style>
  <w:style w:type="character" w:customStyle="1" w:styleId="katex-mathml">
    <w:name w:val="katex-mathml"/>
    <w:basedOn w:val="DefaultParagraphFont"/>
    <w:rsid w:val="00817CE1"/>
  </w:style>
  <w:style w:type="character" w:customStyle="1" w:styleId="vlist-s">
    <w:name w:val="vlist-s"/>
    <w:basedOn w:val="DefaultParagraphFont"/>
    <w:rsid w:val="00817CE1"/>
  </w:style>
  <w:style w:type="character" w:customStyle="1" w:styleId="anchor-text">
    <w:name w:val="anchor-text"/>
    <w:basedOn w:val="DefaultParagraphFont"/>
    <w:rsid w:val="006C29C4"/>
  </w:style>
  <w:style w:type="character" w:styleId="Emphasis">
    <w:name w:val="Emphasis"/>
    <w:basedOn w:val="DefaultParagraphFont"/>
    <w:uiPriority w:val="20"/>
    <w:qFormat/>
    <w:rsid w:val="006C29C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918904">
      <w:bodyDiv w:val="1"/>
      <w:marLeft w:val="0"/>
      <w:marRight w:val="0"/>
      <w:marTop w:val="0"/>
      <w:marBottom w:val="0"/>
      <w:divBdr>
        <w:top w:val="none" w:sz="0" w:space="0" w:color="auto"/>
        <w:left w:val="none" w:sz="0" w:space="0" w:color="auto"/>
        <w:bottom w:val="none" w:sz="0" w:space="0" w:color="auto"/>
        <w:right w:val="none" w:sz="0" w:space="0" w:color="auto"/>
      </w:divBdr>
    </w:div>
    <w:div w:id="209656525">
      <w:bodyDiv w:val="1"/>
      <w:marLeft w:val="0"/>
      <w:marRight w:val="0"/>
      <w:marTop w:val="0"/>
      <w:marBottom w:val="0"/>
      <w:divBdr>
        <w:top w:val="none" w:sz="0" w:space="0" w:color="auto"/>
        <w:left w:val="none" w:sz="0" w:space="0" w:color="auto"/>
        <w:bottom w:val="none" w:sz="0" w:space="0" w:color="auto"/>
        <w:right w:val="none" w:sz="0" w:space="0" w:color="auto"/>
      </w:divBdr>
      <w:divsChild>
        <w:div w:id="518352830">
          <w:marLeft w:val="0"/>
          <w:marRight w:val="0"/>
          <w:marTop w:val="0"/>
          <w:marBottom w:val="0"/>
          <w:divBdr>
            <w:top w:val="none" w:sz="0" w:space="0" w:color="auto"/>
            <w:left w:val="none" w:sz="0" w:space="0" w:color="auto"/>
            <w:bottom w:val="none" w:sz="0" w:space="0" w:color="auto"/>
            <w:right w:val="none" w:sz="0" w:space="0" w:color="auto"/>
          </w:divBdr>
        </w:div>
      </w:divsChild>
    </w:div>
    <w:div w:id="570964338">
      <w:bodyDiv w:val="1"/>
      <w:marLeft w:val="0"/>
      <w:marRight w:val="0"/>
      <w:marTop w:val="0"/>
      <w:marBottom w:val="0"/>
      <w:divBdr>
        <w:top w:val="none" w:sz="0" w:space="0" w:color="auto"/>
        <w:left w:val="none" w:sz="0" w:space="0" w:color="auto"/>
        <w:bottom w:val="none" w:sz="0" w:space="0" w:color="auto"/>
        <w:right w:val="none" w:sz="0" w:space="0" w:color="auto"/>
      </w:divBdr>
      <w:divsChild>
        <w:div w:id="291644102">
          <w:marLeft w:val="0"/>
          <w:marRight w:val="0"/>
          <w:marTop w:val="0"/>
          <w:marBottom w:val="0"/>
          <w:divBdr>
            <w:top w:val="none" w:sz="0" w:space="0" w:color="auto"/>
            <w:left w:val="none" w:sz="0" w:space="0" w:color="auto"/>
            <w:bottom w:val="none" w:sz="0" w:space="0" w:color="auto"/>
            <w:right w:val="none" w:sz="0" w:space="0" w:color="auto"/>
          </w:divBdr>
        </w:div>
      </w:divsChild>
    </w:div>
    <w:div w:id="708527517">
      <w:bodyDiv w:val="1"/>
      <w:marLeft w:val="0"/>
      <w:marRight w:val="0"/>
      <w:marTop w:val="0"/>
      <w:marBottom w:val="0"/>
      <w:divBdr>
        <w:top w:val="none" w:sz="0" w:space="0" w:color="auto"/>
        <w:left w:val="none" w:sz="0" w:space="0" w:color="auto"/>
        <w:bottom w:val="none" w:sz="0" w:space="0" w:color="auto"/>
        <w:right w:val="none" w:sz="0" w:space="0" w:color="auto"/>
      </w:divBdr>
    </w:div>
    <w:div w:id="1665932066">
      <w:bodyDiv w:val="1"/>
      <w:marLeft w:val="0"/>
      <w:marRight w:val="0"/>
      <w:marTop w:val="0"/>
      <w:marBottom w:val="0"/>
      <w:divBdr>
        <w:top w:val="none" w:sz="0" w:space="0" w:color="auto"/>
        <w:left w:val="none" w:sz="0" w:space="0" w:color="auto"/>
        <w:bottom w:val="none" w:sz="0" w:space="0" w:color="auto"/>
        <w:right w:val="none" w:sz="0" w:space="0" w:color="auto"/>
      </w:divBdr>
      <w:divsChild>
        <w:div w:id="1937709381">
          <w:marLeft w:val="0"/>
          <w:marRight w:val="0"/>
          <w:marTop w:val="0"/>
          <w:marBottom w:val="0"/>
          <w:divBdr>
            <w:top w:val="none" w:sz="0" w:space="0" w:color="auto"/>
            <w:left w:val="none" w:sz="0" w:space="0" w:color="auto"/>
            <w:bottom w:val="none" w:sz="0" w:space="0" w:color="auto"/>
            <w:right w:val="none" w:sz="0" w:space="0" w:color="auto"/>
          </w:divBdr>
        </w:div>
      </w:divsChild>
    </w:div>
    <w:div w:id="16825836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hyperlink" Target="https://doi.org/10.1016/S0020-7403(01)00031-5" TargetMode="External"/><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emf"/><Relationship Id="rId25" Type="http://schemas.openxmlformats.org/officeDocument/2006/relationships/hyperlink" Target="https://doi.org/10.1016/0020-7683(95)00020-B"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doi.org/10.1093/qjmam/13.1.10"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doi.org/10.2320/matertrans.M2013293" TargetMode="External"/><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1.wdp"/><Relationship Id="rId22" Type="http://schemas.openxmlformats.org/officeDocument/2006/relationships/chart" Target="charts/chart2.xml"/><Relationship Id="rId27" Type="http://schemas.openxmlformats.org/officeDocument/2006/relationships/header" Target="header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E:\PG\KIRBY%20BUILDING%20SYSTEMS\3.%20Curve%20Fitting\1.%20Aluminum%20Tubes\Book1.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IN"/>
              <a:t>Empty Tubes</a:t>
            </a:r>
          </a:p>
        </c:rich>
      </c:tx>
      <c:layout>
        <c:manualLayout>
          <c:xMode val="edge"/>
          <c:yMode val="edge"/>
          <c:x val="0.40296861329833766"/>
          <c:y val="3.4722222222222224E-2"/>
        </c:manualLayout>
      </c:layout>
      <c:overlay val="0"/>
      <c:spPr>
        <a:noFill/>
        <a:ln>
          <a:noFill/>
        </a:ln>
        <a:effectLst/>
      </c:spPr>
      <c:txPr>
        <a:bodyPr rot="0" spcFirstLastPara="1" vertOverflow="ellipsis" vert="horz" wrap="square" anchor="ctr" anchorCtr="1"/>
        <a:lstStyle/>
        <a:p>
          <a:pPr>
            <a:defRPr sz="108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5801208442694664"/>
          <c:y val="0.14888888888888888"/>
          <c:w val="0.80379347112860888"/>
          <c:h val="0.51690179352580923"/>
        </c:manualLayout>
      </c:layout>
      <c:barChart>
        <c:barDir val="col"/>
        <c:grouping val="clustered"/>
        <c:varyColors val="0"/>
        <c:ser>
          <c:idx val="0"/>
          <c:order val="0"/>
          <c:tx>
            <c:strRef>
              <c:f>Sheet1!$B$1</c:f>
              <c:strCache>
                <c:ptCount val="1"/>
                <c:pt idx="0">
                  <c:v>Experimental</c:v>
                </c:pt>
              </c:strCache>
            </c:strRef>
          </c:tx>
          <c:spPr>
            <a:solidFill>
              <a:srgbClr val="C00000"/>
            </a:solidFill>
            <a:ln>
              <a:noFill/>
            </a:ln>
            <a:effectLst/>
          </c:spPr>
          <c:invertIfNegative val="0"/>
          <c:cat>
            <c:strRef>
              <c:f>Sheet1!$A$2:$A$5</c:f>
              <c:strCache>
                <c:ptCount val="4"/>
                <c:pt idx="0">
                  <c:v>D/t = 40.2
L/D = 3.32</c:v>
                </c:pt>
                <c:pt idx="1">
                  <c:v>D/t = 30.15
L/D = 3.32</c:v>
                </c:pt>
                <c:pt idx="2">
                  <c:v>D/t = 40.2
L/D = 4.98</c:v>
                </c:pt>
                <c:pt idx="3">
                  <c:v>D/t = 30.15
L/D = 4.98</c:v>
                </c:pt>
              </c:strCache>
            </c:strRef>
          </c:cat>
          <c:val>
            <c:numRef>
              <c:f>Sheet1!$B$2:$B$5</c:f>
              <c:numCache>
                <c:formatCode>General</c:formatCode>
                <c:ptCount val="4"/>
                <c:pt idx="0">
                  <c:v>28.27</c:v>
                </c:pt>
                <c:pt idx="1">
                  <c:v>39.880000000000003</c:v>
                </c:pt>
                <c:pt idx="2">
                  <c:v>26.86</c:v>
                </c:pt>
                <c:pt idx="3">
                  <c:v>37.89</c:v>
                </c:pt>
              </c:numCache>
            </c:numRef>
          </c:val>
          <c:extLst>
            <c:ext xmlns:c16="http://schemas.microsoft.com/office/drawing/2014/chart" uri="{C3380CC4-5D6E-409C-BE32-E72D297353CC}">
              <c16:uniqueId val="{00000000-6DA3-464B-82EF-943D85E53420}"/>
            </c:ext>
          </c:extLst>
        </c:ser>
        <c:ser>
          <c:idx val="1"/>
          <c:order val="1"/>
          <c:tx>
            <c:strRef>
              <c:f>Sheet1!$C$1</c:f>
              <c:strCache>
                <c:ptCount val="1"/>
                <c:pt idx="0">
                  <c:v>Abramovicz &amp; Jones Model [8] </c:v>
                </c:pt>
              </c:strCache>
            </c:strRef>
          </c:tx>
          <c:spPr>
            <a:solidFill>
              <a:srgbClr val="0070C0"/>
            </a:solidFill>
            <a:ln>
              <a:solidFill>
                <a:srgbClr val="0070C0"/>
              </a:solidFill>
            </a:ln>
            <a:effectLst/>
          </c:spPr>
          <c:invertIfNegative val="0"/>
          <c:cat>
            <c:strRef>
              <c:f>Sheet1!$A$2:$A$5</c:f>
              <c:strCache>
                <c:ptCount val="4"/>
                <c:pt idx="0">
                  <c:v>D/t = 40.2
L/D = 3.32</c:v>
                </c:pt>
                <c:pt idx="1">
                  <c:v>D/t = 30.15
L/D = 3.32</c:v>
                </c:pt>
                <c:pt idx="2">
                  <c:v>D/t = 40.2
L/D = 4.98</c:v>
                </c:pt>
                <c:pt idx="3">
                  <c:v>D/t = 30.15
L/D = 4.98</c:v>
                </c:pt>
              </c:strCache>
            </c:strRef>
          </c:cat>
          <c:val>
            <c:numRef>
              <c:f>Sheet1!$C$2:$C$5</c:f>
              <c:numCache>
                <c:formatCode>General</c:formatCode>
                <c:ptCount val="4"/>
                <c:pt idx="0">
                  <c:v>26.5</c:v>
                </c:pt>
                <c:pt idx="1">
                  <c:v>41.3</c:v>
                </c:pt>
                <c:pt idx="2">
                  <c:v>26.5</c:v>
                </c:pt>
                <c:pt idx="3">
                  <c:v>41.3</c:v>
                </c:pt>
              </c:numCache>
            </c:numRef>
          </c:val>
          <c:extLst>
            <c:ext xmlns:c16="http://schemas.microsoft.com/office/drawing/2014/chart" uri="{C3380CC4-5D6E-409C-BE32-E72D297353CC}">
              <c16:uniqueId val="{00000001-6DA3-464B-82EF-943D85E53420}"/>
            </c:ext>
          </c:extLst>
        </c:ser>
        <c:ser>
          <c:idx val="2"/>
          <c:order val="2"/>
          <c:tx>
            <c:strRef>
              <c:f>Sheet1!$D$1</c:f>
              <c:strCache>
                <c:ptCount val="1"/>
                <c:pt idx="0">
                  <c:v>Empirical Model</c:v>
                </c:pt>
              </c:strCache>
            </c:strRef>
          </c:tx>
          <c:spPr>
            <a:solidFill>
              <a:schemeClr val="accent1">
                <a:lumMod val="50000"/>
              </a:schemeClr>
            </a:solidFill>
            <a:ln>
              <a:noFill/>
            </a:ln>
            <a:effectLst/>
          </c:spPr>
          <c:invertIfNegative val="0"/>
          <c:cat>
            <c:strRef>
              <c:f>Sheet1!$A$2:$A$5</c:f>
              <c:strCache>
                <c:ptCount val="4"/>
                <c:pt idx="0">
                  <c:v>D/t = 40.2
L/D = 3.32</c:v>
                </c:pt>
                <c:pt idx="1">
                  <c:v>D/t = 30.15
L/D = 3.32</c:v>
                </c:pt>
                <c:pt idx="2">
                  <c:v>D/t = 40.2
L/D = 4.98</c:v>
                </c:pt>
                <c:pt idx="3">
                  <c:v>D/t = 30.15
L/D = 4.98</c:v>
                </c:pt>
              </c:strCache>
            </c:strRef>
          </c:cat>
          <c:val>
            <c:numRef>
              <c:f>Sheet1!$D$2:$D$5</c:f>
              <c:numCache>
                <c:formatCode>0.00</c:formatCode>
                <c:ptCount val="4"/>
                <c:pt idx="0">
                  <c:v>27.139199999999999</c:v>
                </c:pt>
                <c:pt idx="1">
                  <c:v>38.284800000000004</c:v>
                </c:pt>
                <c:pt idx="2">
                  <c:v>26.322799999999997</c:v>
                </c:pt>
                <c:pt idx="3">
                  <c:v>35.9955</c:v>
                </c:pt>
              </c:numCache>
            </c:numRef>
          </c:val>
          <c:extLst>
            <c:ext xmlns:c16="http://schemas.microsoft.com/office/drawing/2014/chart" uri="{C3380CC4-5D6E-409C-BE32-E72D297353CC}">
              <c16:uniqueId val="{00000002-6DA3-464B-82EF-943D85E53420}"/>
            </c:ext>
          </c:extLst>
        </c:ser>
        <c:dLbls>
          <c:showLegendKey val="0"/>
          <c:showVal val="0"/>
          <c:showCatName val="0"/>
          <c:showSerName val="0"/>
          <c:showPercent val="0"/>
          <c:showBubbleSize val="0"/>
        </c:dLbls>
        <c:gapWidth val="219"/>
        <c:overlap val="-27"/>
        <c:axId val="51157999"/>
        <c:axId val="40151887"/>
      </c:barChart>
      <c:catAx>
        <c:axId val="51157999"/>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40151887"/>
        <c:crosses val="autoZero"/>
        <c:auto val="1"/>
        <c:lblAlgn val="ctr"/>
        <c:lblOffset val="100"/>
        <c:noMultiLvlLbl val="0"/>
      </c:catAx>
      <c:valAx>
        <c:axId val="40151887"/>
        <c:scaling>
          <c:orientation val="minMax"/>
        </c:scaling>
        <c:delete val="0"/>
        <c:axPos val="l"/>
        <c:title>
          <c:tx>
            <c:rich>
              <a:bodyPr rot="-54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IN"/>
                  <a:t>Mean Compressive Strength</a:t>
                </a:r>
              </a:p>
              <a:p>
                <a:pPr>
                  <a:defRPr/>
                </a:pPr>
                <a:r>
                  <a:rPr lang="en-IN"/>
                  <a:t>(kN)</a:t>
                </a:r>
              </a:p>
            </c:rich>
          </c:tx>
          <c:layout>
            <c:manualLayout>
              <c:xMode val="edge"/>
              <c:yMode val="edge"/>
              <c:x val="1.3911854768153979E-2"/>
              <c:y val="9.7499999999999989E-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1157999"/>
        <c:crosses val="autoZero"/>
        <c:crossBetween val="between"/>
      </c:valAx>
      <c:spPr>
        <a:noFill/>
        <a:ln>
          <a:solidFill>
            <a:schemeClr val="tx1"/>
          </a:solidFill>
        </a:ln>
        <a:effectLst/>
      </c:spPr>
    </c:plotArea>
    <c:legend>
      <c:legendPos val="b"/>
      <c:layout>
        <c:manualLayout>
          <c:xMode val="edge"/>
          <c:yMode val="edge"/>
          <c:x val="8.3910487751531065E-2"/>
          <c:y val="0.8644860017497813"/>
          <c:w val="0.8813672900262467"/>
          <c:h val="0.1132917760279965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IN"/>
              <a:t>Foam Filled Tubes</a:t>
            </a:r>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4757245188101487"/>
          <c:y val="0.14971619365609351"/>
          <c:w val="0.81423310367454071"/>
          <c:h val="0.53628015195930223"/>
        </c:manualLayout>
      </c:layout>
      <c:barChart>
        <c:barDir val="col"/>
        <c:grouping val="clustered"/>
        <c:varyColors val="0"/>
        <c:ser>
          <c:idx val="0"/>
          <c:order val="0"/>
          <c:tx>
            <c:strRef>
              <c:f>Sheet2!$B$1</c:f>
              <c:strCache>
                <c:ptCount val="1"/>
                <c:pt idx="0">
                  <c:v>Experimental</c:v>
                </c:pt>
              </c:strCache>
            </c:strRef>
          </c:tx>
          <c:spPr>
            <a:solidFill>
              <a:srgbClr val="C00000"/>
            </a:solidFill>
            <a:ln>
              <a:noFill/>
            </a:ln>
            <a:effectLst/>
          </c:spPr>
          <c:invertIfNegative val="0"/>
          <c:cat>
            <c:strRef>
              <c:f>Sheet2!$A$2:$A$5</c:f>
              <c:strCache>
                <c:ptCount val="4"/>
                <c:pt idx="0">
                  <c:v>D/t = 40.2
L/D = 3.32</c:v>
                </c:pt>
                <c:pt idx="1">
                  <c:v>D/t = 30.15
L/D = 3.32</c:v>
                </c:pt>
                <c:pt idx="2">
                  <c:v>D/t = 40.2
L/D = 4.98</c:v>
                </c:pt>
                <c:pt idx="3">
                  <c:v>D/t = 30.15
L/D = 4.98</c:v>
                </c:pt>
              </c:strCache>
            </c:strRef>
          </c:cat>
          <c:val>
            <c:numRef>
              <c:f>Sheet2!$B$2:$B$5</c:f>
              <c:numCache>
                <c:formatCode>General</c:formatCode>
                <c:ptCount val="4"/>
                <c:pt idx="0">
                  <c:v>46.77</c:v>
                </c:pt>
                <c:pt idx="1">
                  <c:v>49.1</c:v>
                </c:pt>
                <c:pt idx="2">
                  <c:v>45.37</c:v>
                </c:pt>
                <c:pt idx="3">
                  <c:v>47.63</c:v>
                </c:pt>
              </c:numCache>
            </c:numRef>
          </c:val>
          <c:extLst>
            <c:ext xmlns:c16="http://schemas.microsoft.com/office/drawing/2014/chart" uri="{C3380CC4-5D6E-409C-BE32-E72D297353CC}">
              <c16:uniqueId val="{00000000-93B7-436F-B6C5-1E687DC9573C}"/>
            </c:ext>
          </c:extLst>
        </c:ser>
        <c:ser>
          <c:idx val="1"/>
          <c:order val="1"/>
          <c:tx>
            <c:strRef>
              <c:f>Sheet2!$C$1</c:f>
              <c:strCache>
                <c:ptCount val="1"/>
                <c:pt idx="0">
                  <c:v>British Standard [13] </c:v>
                </c:pt>
              </c:strCache>
            </c:strRef>
          </c:tx>
          <c:spPr>
            <a:solidFill>
              <a:srgbClr val="0070C0"/>
            </a:solidFill>
            <a:ln>
              <a:noFill/>
            </a:ln>
            <a:effectLst/>
          </c:spPr>
          <c:invertIfNegative val="0"/>
          <c:cat>
            <c:strRef>
              <c:f>Sheet2!$A$2:$A$5</c:f>
              <c:strCache>
                <c:ptCount val="4"/>
                <c:pt idx="0">
                  <c:v>D/t = 40.2
L/D = 3.32</c:v>
                </c:pt>
                <c:pt idx="1">
                  <c:v>D/t = 30.15
L/D = 3.32</c:v>
                </c:pt>
                <c:pt idx="2">
                  <c:v>D/t = 40.2
L/D = 4.98</c:v>
                </c:pt>
                <c:pt idx="3">
                  <c:v>D/t = 30.15
L/D = 4.98</c:v>
                </c:pt>
              </c:strCache>
            </c:strRef>
          </c:cat>
          <c:val>
            <c:numRef>
              <c:f>Sheet2!$C$2:$C$5</c:f>
              <c:numCache>
                <c:formatCode>General</c:formatCode>
                <c:ptCount val="4"/>
                <c:pt idx="0">
                  <c:v>46.42</c:v>
                </c:pt>
                <c:pt idx="1">
                  <c:v>55.81</c:v>
                </c:pt>
                <c:pt idx="2">
                  <c:v>46.42</c:v>
                </c:pt>
                <c:pt idx="3">
                  <c:v>55.81</c:v>
                </c:pt>
              </c:numCache>
            </c:numRef>
          </c:val>
          <c:extLst>
            <c:ext xmlns:c16="http://schemas.microsoft.com/office/drawing/2014/chart" uri="{C3380CC4-5D6E-409C-BE32-E72D297353CC}">
              <c16:uniqueId val="{00000001-93B7-436F-B6C5-1E687DC9573C}"/>
            </c:ext>
          </c:extLst>
        </c:ser>
        <c:ser>
          <c:idx val="2"/>
          <c:order val="2"/>
          <c:tx>
            <c:strRef>
              <c:f>Sheet2!$D$1</c:f>
              <c:strCache>
                <c:ptCount val="1"/>
                <c:pt idx="0">
                  <c:v>Empirical Model</c:v>
                </c:pt>
              </c:strCache>
            </c:strRef>
          </c:tx>
          <c:spPr>
            <a:solidFill>
              <a:srgbClr val="002060"/>
            </a:solidFill>
            <a:ln>
              <a:noFill/>
            </a:ln>
            <a:effectLst/>
          </c:spPr>
          <c:invertIfNegative val="0"/>
          <c:cat>
            <c:strRef>
              <c:f>Sheet2!$A$2:$A$5</c:f>
              <c:strCache>
                <c:ptCount val="4"/>
                <c:pt idx="0">
                  <c:v>D/t = 40.2
L/D = 3.32</c:v>
                </c:pt>
                <c:pt idx="1">
                  <c:v>D/t = 30.15
L/D = 3.32</c:v>
                </c:pt>
                <c:pt idx="2">
                  <c:v>D/t = 40.2
L/D = 4.98</c:v>
                </c:pt>
                <c:pt idx="3">
                  <c:v>D/t = 30.15
L/D = 4.98</c:v>
                </c:pt>
              </c:strCache>
            </c:strRef>
          </c:cat>
          <c:val>
            <c:numRef>
              <c:f>Sheet2!$D$2:$D$5</c:f>
              <c:numCache>
                <c:formatCode>0.00</c:formatCode>
                <c:ptCount val="4"/>
                <c:pt idx="0">
                  <c:v>44.4315</c:v>
                </c:pt>
                <c:pt idx="1">
                  <c:v>47.136000000000003</c:v>
                </c:pt>
                <c:pt idx="2">
                  <c:v>44.462599999999995</c:v>
                </c:pt>
                <c:pt idx="3">
                  <c:v>45.2485</c:v>
                </c:pt>
              </c:numCache>
            </c:numRef>
          </c:val>
          <c:extLst>
            <c:ext xmlns:c16="http://schemas.microsoft.com/office/drawing/2014/chart" uri="{C3380CC4-5D6E-409C-BE32-E72D297353CC}">
              <c16:uniqueId val="{00000002-93B7-436F-B6C5-1E687DC9573C}"/>
            </c:ext>
          </c:extLst>
        </c:ser>
        <c:dLbls>
          <c:showLegendKey val="0"/>
          <c:showVal val="0"/>
          <c:showCatName val="0"/>
          <c:showSerName val="0"/>
          <c:showPercent val="0"/>
          <c:showBubbleSize val="0"/>
        </c:dLbls>
        <c:gapWidth val="219"/>
        <c:overlap val="-27"/>
        <c:axId val="527687711"/>
        <c:axId val="512422367"/>
      </c:barChart>
      <c:catAx>
        <c:axId val="527687711"/>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12422367"/>
        <c:crosses val="autoZero"/>
        <c:auto val="1"/>
        <c:lblAlgn val="ctr"/>
        <c:lblOffset val="100"/>
        <c:noMultiLvlLbl val="0"/>
      </c:catAx>
      <c:valAx>
        <c:axId val="512422367"/>
        <c:scaling>
          <c:orientation val="minMax"/>
        </c:scaling>
        <c:delete val="0"/>
        <c:axPos val="l"/>
        <c:title>
          <c:tx>
            <c:rich>
              <a:bodyPr rot="-54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IN"/>
                  <a:t>Mean Crushing Strength (kN)</a:t>
                </a:r>
              </a:p>
            </c:rich>
          </c:tx>
          <c:layout>
            <c:manualLayout>
              <c:xMode val="edge"/>
              <c:yMode val="edge"/>
              <c:x val="3.125E-2"/>
              <c:y val="8.2938230383973285E-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27687711"/>
        <c:crosses val="autoZero"/>
        <c:crossBetween val="between"/>
      </c:valAx>
      <c:spPr>
        <a:noFill/>
        <a:ln>
          <a:solidFill>
            <a:schemeClr val="tx1"/>
          </a:solidFill>
        </a:ln>
        <a:effectLst/>
      </c:spPr>
    </c:plotArea>
    <c:legend>
      <c:legendPos val="b"/>
      <c:layout>
        <c:manualLayout>
          <c:xMode val="edge"/>
          <c:yMode val="edge"/>
          <c:x val="5.2403762029746281E-2"/>
          <c:y val="0.86734320981162827"/>
          <c:w val="0.8951922025371829"/>
          <c:h val="0.1059456048795236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BF8A28B-5484-4AB7-BF0F-10AC3EE6F600}">
  <we:reference id="wa200000368" version="1.0.0.0" store="en-US" storeType="OMEX"/>
  <we:alternateReferences>
    <we:reference id="WA200000368" version="1.0.0.0" store="WA200000368" storeType="OMEX"/>
  </we:alternateReferences>
  <we:properties/>
  <we:bindings/>
  <we:snapshot xmlns:r="http://schemas.openxmlformats.org/officeDocument/2006/relationships"/>
</we:webextension>
</file>

<file path=customUI/_rels/customUI14.xml.rels><?xml version="1.0" encoding="UTF-8" standalone="yes"?>
<Relationships xmlns="http://schemas.openxmlformats.org/package/2006/relationships"><Relationship Id="removespace" Type="http://schemas.openxmlformats.org/officeDocument/2006/relationships/image" Target="images/removespace.ICO"/><Relationship Id="ORCID" Type="http://schemas.openxmlformats.org/officeDocument/2006/relationships/image" Target="images/ORCID.ICO"/><Relationship Id="papertitle" Type="http://schemas.openxmlformats.org/officeDocument/2006/relationships/image" Target="images/papertitle.ICO"/><Relationship Id="FigCaption" Type="http://schemas.openxmlformats.org/officeDocument/2006/relationships/image" Target="images/FigCaption16.ICO"/><Relationship Id="addspace" Type="http://schemas.openxmlformats.org/officeDocument/2006/relationships/image" Target="images/addspace.ICO"/><Relationship Id="arrowleft" Type="http://schemas.openxmlformats.org/officeDocument/2006/relationships/image" Target="images/arrowleft.ICO"/><Relationship Id="bulletitem" Type="http://schemas.openxmlformats.org/officeDocument/2006/relationships/image" Target="images/bulletitem.ICO"/><Relationship Id="togglenumbering" Type="http://schemas.openxmlformats.org/officeDocument/2006/relationships/image" Target="images/togglenumbering.ICO"/><Relationship Id="eqnumber" Type="http://schemas.openxmlformats.org/officeDocument/2006/relationships/image" Target="images/eqnumber.ICO"/><Relationship Id="normalspace" Type="http://schemas.openxmlformats.org/officeDocument/2006/relationships/image" Target="images/normalspace.ICO"/><Relationship Id="abstract" Type="http://schemas.openxmlformats.org/officeDocument/2006/relationships/image" Target="images/abstract.ICO"/><Relationship Id="arrowright" Type="http://schemas.openxmlformats.org/officeDocument/2006/relationships/image" Target="images/arrowright.ICO"/><Relationship Id="equation" Type="http://schemas.openxmlformats.org/officeDocument/2006/relationships/image" Target="images/equation.ICO"/><Relationship Id="RedoStyles" Type="http://schemas.openxmlformats.org/officeDocument/2006/relationships/image" Target="images/RedoStyles.ICO"/><Relationship Id="TabCaption" Type="http://schemas.openxmlformats.org/officeDocument/2006/relationships/image" Target="images/TabCaption16.ICO"/><Relationship Id="normal" Type="http://schemas.openxmlformats.org/officeDocument/2006/relationships/image" Target="images/normal32.ICO"/><Relationship Id="squeeze" Type="http://schemas.openxmlformats.org/officeDocument/2006/relationships/image" Target="images/squeeze.ICO"/><Relationship Id="expand" Type="http://schemas.openxmlformats.org/officeDocument/2006/relationships/image" Target="images/expand.ICO"/><Relationship Id="InsertImage" Type="http://schemas.openxmlformats.org/officeDocument/2006/relationships/image" Target="images/InsertImage16.ICO"/><Relationship Id="dashitem" Type="http://schemas.openxmlformats.org/officeDocument/2006/relationships/image" Target="images/dashitem.ICO"/><Relationship Id="numitem" Type="http://schemas.openxmlformats.org/officeDocument/2006/relationships/image" Target="images/numitem.ICO"/><Relationship Id="papersubtitle" Type="http://schemas.openxmlformats.org/officeDocument/2006/relationships/image" Target="images/subtitle.ICO"/><Relationship Id="HeaderFooter" Type="http://schemas.openxmlformats.org/officeDocument/2006/relationships/image" Target="images/HeaderFooter.ICO"/></Relationships>
</file>

<file path=customUI/customUI14.xml><?xml version="1.0" encoding="utf-8"?>
<customUI xmlns="http://schemas.microsoft.com/office/2009/07/customui" onLoad="LoadSpProcRibbon">
  <ribbon startFromScratch="false">
    <tabs>
      <tab id="tabSpProc" insertBeforeMso="TabHome" label="Springer Proceedings Macros">
        <group id="grTitlePage" label="Title Page" autoScale="true">
          <button id="btnTitle" label="Title" image="papertitle" size="large" onAction="MakeTitle" screentip="Format selected text as paper title"/>
          <button id="btnSubtitle" label="Subtitle" image="papersubtitle" size="large" onAction="MakeSubtitle" screentip="Format selected text as paper subtitle (optional)"/>
          <button id="btnAuthor" label="Author" imageMso="DistributionListSelectMembers" size="large" onAction="MakeAuthor" screentip="Format selected text as paper author(s)"/>
          <box id="box1" boxStyle="vertical">
            <button id="btnORCID" label="ORCID" image="ORCID" onAction="MakeORCID" screentip="Format selected text as ORCID id" supertip="Please note that ORCID ids will not be printed. In the online version they will be replaced by icons that are linked to the related ORCID pages."/>
            <button id="btnAddress" label="Address" imageMso="MailMergeAddressBlockInsert" onAction="MakeAddress" screentip="Format selected text as affiliation (including e-mail address, URL)"/>
            <button id="btnEmail" label="E-mail" imageMso="EnvelopesAndLabelsDialog" onAction="MakeEMail" screentip="Format selected text as e-mail address or URL (apply typewriter style)"/>
          </box>
          <button id="btnAbstract" label="Abstract" image="abstract" size="large" onAction="MakeAbstract" screentip="Format selected text as abstract" supertip="If not present, the word 'Abstract' is added at the beginning of the first paragraph."/>
          <button id="btnKeywords" label="Keywords" imageMso="ReviewTrackChanges" size="large" onAction="MakeKeywords" screentip="Format selected text as keywords" supertip="If not present, the word 'Keywords' is added at the beginning of the first paragraph."/>
        </group>
        <group id="grBasicFormats" image="lncs2" label="Basic Formats" autoScale="true">
          <button id="btnH1" label="H1" imageMso="PivotTableLayoutShowInOutlineForm" size="large" onAction="H1" screentip="Format selected text as heading (level 1)"/>
          <button id="btnH2" label="H2" imageMso="PivotTableLayoutShowInCompactForm" size="large" onAction="H2" screentip="Format selected text as heading (level 2)"/>
          <button id="btnH3" label="H3" imageMso="PivotTableLayoutBlankRows" size="large" onAction="H3" screentip="Format selected text as an unnumbered heading (level 3)"/>
          <button id="btnH4" label="H4" imageMso="PivotTableLayoutSubtotals" size="large" onAction="H4" screentip="Format selected text as an unnumbered heading (level 4)"/>
          <box id="box2" boxStyle="vertical">
            <button id="btnBullet" label="Bullet Item" image="bulletitem" onAction="MakeBulletItem" screentip="Format selected text as bullet item(s)" supertip="Please note that bullets are the default for unnumbered lists in Springer proceedings."/>
            <button id="btnDash" label="Dash Item" image="dashitem" onAction="MakeDashItem" screentip="Format selected text as dash item(s)" supertip="Please note that bullets are the default for unnumbered lists in Springer proceedings."/>
            <button id="btnNumbered" label="Num Item" image="numitem" onAction="MakeNumItem" screentip="Format selected text as numbered item(s)"/>
          </box>
          <box id="box3" boxStyle="vertical">
            <button id="btnListLevelUp" label="List Level +" image="arrowright" onAction="ListLevelUp" screentip="Move the selected text one level up in the list hierarchy" supertip="This buttton can be used to create and edit nested lists (numbered and unnumbered)."/>
            <button id="btnListLevelDown" label="List Level -" image="arrowleft" onAction="ListLevelDown" screentip="Move the selected text one level down in the list hierarchy" supertip="This buttton can be used to create and edit nested lists (numbered and unnumbered)."/>
            <button id="btnToggleNum" label=" 1../..n.." image="togglenumbering" onAction="RestartNumbering" screentip="Toggle between restarting and continuing a numbered list" supertip="Applies to numbered lists only."/>
          </box>
          <button id="btnStandard" label="Normal Text" image="normal" size="large" onAction="MakeStandard" screentip="Format the selection as normal text" supertip="This button can change both paragraph format and character style. If applied to a nonstandard paragraph, the standard paragraph format is applied. If applied to a standard paragraph, the standard character style is applied. If you want to both apply the standard paragraph format and remove a nonstandard character style, simply click on the button twice."/>
          <box id="box4" boxStyle="vertical">
            <button id="btnAddSpace" label="Add Space" image="addspace" onAction="AddVerticalSpace" screentip="Add 6 pt (2.1 mm) of vertical space before the selected paragraph."/>
            <button id="btnClearSpace" label="Clear Space" image="removespace" onAction="ClearVerticalSpace" screentip="Clear any vertical space before and after the selected text"/>
            <button id="btnFootnote" label="Footnote" imageMso="FootnoteInsert" onAction="InsertFN" screentip="Add a footnote"/>
          </box>
          <button id="btnReference" label="Reference Item" imageMso="NameManager" size="large" onAction="MakeRefItem" screentip="Format selected text as reference item"/>
        </group>
        <group id="grSpecialFormats" label="Figures, Tables, Equations" autoScale="true">
          <box id="box5" boxStyle="vertical">
            <button id="btnInsImage" label="Insert Image" image="InsertImage" onAction="InsertImage" screentip="Insert an image from a file."/>
            <button id="btnFigure" label="Figure Caption" image="FigCaption" onAction="MakeFigCaption" screentip="Format the selected text as figure caption" supertip="Please note that the figure is numbered with an automatic counter that is updated whenever you reopen the document. A figure caption should always be positioned below the related figure."/>
          </box>
          <separator id="separator1"/>
          <box id="box6" boxStyle="vertical">
            <button id="btnTable" label="Table Caption" image="TabCaption" onAction="MakeTableCaption" screentip="Format the selected text as table caption" supertip="Please note that the table is numbered with an automatic counter that is updated whenever you reopen the document. A table caption should always be positioned above the related table."/>
            <gallery idMso="TableInsertGallery" label="Insert Table"/>
          </box>
          <separator id="separator2"/>
          <button id="btnEquation" label="Displayed Equation" image="equation" size="large" onAction="MakeEquation" screentip="Format the selected text as a displayed equation"/>
          <button id="btnEqCounter" label="Add Eq. Number" image="eqnumber" size="large" onAction="AddEqCounter" screentip="Add an equation number to a selected equation" supertip="The equation numbering is updated whenever you open the document"/>
          <button id="btnProgcode" label="Prog. Code" imageMso="CreateStoredProcedure" size="large" onAction="MakeProgCode" screentip="Format the selected text as program code (typewriter style)"/>
        </group>
        <group id="grRestoreTemplate" label="Template" autoScale="true">
          <button id="btnRestTemplate" label="Check Styles" imageMso="AccessThemesGallery" size="large" onAction="RestoreSettings" screentip="Restore all styles" supertip="Use this button if the original template styles might have been altered or deleted."/>
        </group>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3D21CC-2D97-4F0D-94BB-65B0D4DC4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1</Pages>
  <Words>4258</Words>
  <Characters>25806</Characters>
  <Application>Microsoft Office Word</Application>
  <DocSecurity>0</DocSecurity>
  <Lines>614</Lines>
  <Paragraphs>319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dataspect IT-Services, Neckargemuend, Germany</Company>
  <LinksUpToDate>false</LinksUpToDate>
  <CharactersWithSpaces>29745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 Sarat Chandra</dc:creator>
  <dc:description>Formats and macros for Springer Lecture Notes</dc:description>
  <cp:lastModifiedBy>sarat</cp:lastModifiedBy>
  <cp:revision>12</cp:revision>
  <cp:lastPrinted>2024-10-23T04:13:00Z</cp:lastPrinted>
  <dcterms:created xsi:type="dcterms:W3CDTF">2024-08-29T09:43:00Z</dcterms:created>
  <dcterms:modified xsi:type="dcterms:W3CDTF">2024-10-23T04:14:00Z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c623d55c105bc67bf64969b8e7c071c32b1317e82d7b6c7a45603bb0ab5a98d5</vt:lpwstr>
  </property>
</Properties>
</file>