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ICO" ContentType="image/.ic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2f9a12ed56c04698" Type="http://schemas.microsoft.com/office/2007/relationships/ui/extensibility" Target="customUI/customUI14.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4F6C6" w14:textId="77777777" w:rsidR="00E8144F" w:rsidRDefault="00E8144F" w:rsidP="00E8144F">
      <w:pPr>
        <w:pStyle w:val="papertitle"/>
      </w:pPr>
      <w:r w:rsidRPr="00C60370">
        <w:t>Integrating Forensic Investigation with Risk Assessment for Flyover Bridge</w:t>
      </w:r>
      <w:r>
        <w:t>s: A Case Study</w:t>
      </w:r>
    </w:p>
    <w:p w14:paraId="7CABCBB7" w14:textId="77777777" w:rsidR="00E8144F" w:rsidRPr="007F5F07" w:rsidRDefault="00E8144F" w:rsidP="00E8144F">
      <w:pPr>
        <w:pStyle w:val="author"/>
        <w:rPr>
          <w:vertAlign w:val="superscript"/>
        </w:rPr>
      </w:pPr>
      <w:r w:rsidRPr="007F5F07">
        <w:t>Sarat Chandra Malluru</w:t>
      </w:r>
      <w:r>
        <w:rPr>
          <w:vertAlign w:val="superscript"/>
        </w:rPr>
        <w:t>1</w:t>
      </w:r>
      <w:r w:rsidRPr="007F5F07">
        <w:t xml:space="preserve"> and Sri Kalyana Rama Jyosyula</w:t>
      </w:r>
      <w:r>
        <w:rPr>
          <w:vertAlign w:val="superscript"/>
        </w:rPr>
        <w:t>2</w:t>
      </w:r>
    </w:p>
    <w:p w14:paraId="65B32340" w14:textId="77777777" w:rsidR="00E8144F" w:rsidRDefault="00E8144F" w:rsidP="00E8144F">
      <w:pPr>
        <w:pStyle w:val="address"/>
      </w:pPr>
      <w:r>
        <w:rPr>
          <w:vertAlign w:val="superscript"/>
        </w:rPr>
        <w:t>1</w:t>
      </w:r>
      <w:r>
        <w:t>M. Tech. Student, Mahindra University, Hyderabad, Telangana, India</w:t>
      </w:r>
    </w:p>
    <w:p w14:paraId="245C48E9" w14:textId="77777777" w:rsidR="00E8144F" w:rsidRDefault="00E8144F" w:rsidP="00E8144F">
      <w:pPr>
        <w:pStyle w:val="address"/>
      </w:pPr>
      <w:r>
        <w:rPr>
          <w:vertAlign w:val="superscript"/>
        </w:rPr>
        <w:t>2</w:t>
      </w:r>
      <w:r>
        <w:t>Associate Professor, Mahindra University, Hyderabad, Telangana, India</w:t>
      </w:r>
    </w:p>
    <w:p w14:paraId="0365D363" w14:textId="77777777" w:rsidR="00E8144F" w:rsidRPr="00E8144F" w:rsidRDefault="00E8144F" w:rsidP="00E8144F">
      <w:pPr>
        <w:jc w:val="center"/>
        <w:rPr>
          <w:rStyle w:val="e-mail"/>
        </w:rPr>
      </w:pPr>
      <w:r w:rsidRPr="00E8144F">
        <w:rPr>
          <w:rStyle w:val="e-mail"/>
        </w:rPr>
        <w:t>sharath.malluru@gmail.com</w:t>
      </w:r>
    </w:p>
    <w:p w14:paraId="746B2E0A" w14:textId="77777777" w:rsidR="00E8144F" w:rsidRPr="003F7D67" w:rsidRDefault="00E8144F" w:rsidP="00E8144F">
      <w:pPr>
        <w:pStyle w:val="abstract"/>
        <w:spacing w:after="0"/>
        <w:ind w:firstLine="0"/>
      </w:pPr>
      <w:r>
        <w:rPr>
          <w:b/>
        </w:rPr>
        <w:t>Abstract.</w:t>
      </w:r>
      <w:r>
        <w:t xml:space="preserve"> </w:t>
      </w:r>
      <w:r w:rsidRPr="003F7D67">
        <w:t>The integration of forensic investigation</w:t>
      </w:r>
      <w:r>
        <w:t>s</w:t>
      </w:r>
      <w:r w:rsidRPr="003F7D67">
        <w:t xml:space="preserve"> </w:t>
      </w:r>
      <w:r>
        <w:t>and</w:t>
      </w:r>
      <w:r w:rsidRPr="003F7D67">
        <w:t xml:space="preserve"> risk assessment</w:t>
      </w:r>
      <w:r>
        <w:t>s</w:t>
      </w:r>
      <w:r w:rsidRPr="003F7D67">
        <w:t xml:space="preserve"> is vital for the practical application of risk management in the construction industry, particularly in the assessment of existing structures like flyover bridges. Despite its importance, there is a noticeable gap in connecting forensic methods </w:t>
      </w:r>
      <w:r>
        <w:t>and</w:t>
      </w:r>
      <w:r w:rsidRPr="003F7D67">
        <w:t xml:space="preserve"> traditional risk assessment frameworks. This study aims to bridge this gap by evaluating a flyover bridge through both qualitative and quantitative methods, utilizing a </w:t>
      </w:r>
      <w:r>
        <w:t>r</w:t>
      </w:r>
      <w:r w:rsidRPr="003F7D67">
        <w:t xml:space="preserve">isk </w:t>
      </w:r>
      <w:r>
        <w:t>m</w:t>
      </w:r>
      <w:r w:rsidRPr="003F7D67">
        <w:t xml:space="preserve">atrix and the </w:t>
      </w:r>
      <w:r>
        <w:t>a</w:t>
      </w:r>
      <w:r w:rsidRPr="003F7D67">
        <w:t xml:space="preserve">nalytical </w:t>
      </w:r>
      <w:r>
        <w:t>h</w:t>
      </w:r>
      <w:r w:rsidRPr="003F7D67">
        <w:t xml:space="preserve">ierarchy </w:t>
      </w:r>
      <w:r>
        <w:t>p</w:t>
      </w:r>
      <w:r w:rsidRPr="003F7D67">
        <w:t xml:space="preserve">rocess (AHP). Risks are identified based on Indian standards, IRM standards, and historical data. The findings indicate that while the Risk Matrix identifies key risks such as </w:t>
      </w:r>
      <w:r>
        <w:t>land acquisition</w:t>
      </w:r>
      <w:r w:rsidRPr="003F7D67">
        <w:t xml:space="preserve"> and financial concerns, AHP provides a more detailed prioritization, emphasizing operational and accessibility risks. Ultimately, operational risk, linked to onsite root causes through forensic investigation, is the top priority. The results underscore the importance of comprehensive forensic analysis in enhancing risk assessment, leading to more effective resource allocation and improved structural safety. This study highlights the critical role of linking forensic investigations with risk assessment</w:t>
      </w:r>
      <w:r>
        <w:t xml:space="preserve"> and provides an integrated risk assessment framework</w:t>
      </w:r>
      <w:r w:rsidRPr="003F7D67">
        <w:t xml:space="preserve"> for better-informed decision-making in industry practices.</w:t>
      </w:r>
    </w:p>
    <w:p w14:paraId="4ED234DC" w14:textId="77777777" w:rsidR="00694399" w:rsidRPr="00EE426C" w:rsidRDefault="009B2539" w:rsidP="00E8144F">
      <w:pPr>
        <w:pStyle w:val="keywords"/>
      </w:pPr>
      <w:r w:rsidRPr="00E8144F">
        <w:rPr>
          <w:b/>
          <w:bCs/>
        </w:rPr>
        <w:t>Keywords:</w:t>
      </w:r>
      <w:r w:rsidRPr="00EE426C">
        <w:t xml:space="preserve"> </w:t>
      </w:r>
      <w:r w:rsidR="00E8144F" w:rsidRPr="00B119B7">
        <w:t>Forensic investigation; Risk assessment; Flyover bridge; Analytical Hierarchy Process (AHP); Risk Matrix; Decision-making.</w:t>
      </w:r>
    </w:p>
    <w:p w14:paraId="7142C63E" w14:textId="77777777" w:rsidR="00694399" w:rsidRDefault="00E8144F" w:rsidP="00694399">
      <w:pPr>
        <w:pStyle w:val="heading1"/>
      </w:pPr>
      <w:r>
        <w:t>Introduction</w:t>
      </w:r>
    </w:p>
    <w:p w14:paraId="29BC2F10" w14:textId="77777777" w:rsidR="00E8144F" w:rsidRPr="00E8144F" w:rsidRDefault="00E8144F" w:rsidP="00E8144F">
      <w:pPr>
        <w:pStyle w:val="p1a"/>
      </w:pPr>
      <w:r w:rsidRPr="00E8144F">
        <w:t>Risk assessment is a crucial process in the successful execution of construction projects, particularly in the conditional assessment of existing structures. This involves identifying, analyzing, and prioritizing potential risks that could impact the project’s outcomes. Effective risk management provides a framework for making informed decisions, improving safety, ensuring structural integrity, and optimizing resource allocation. This comprehensive literature survey integrates risk assessment in structural engineering, focusing on condition assessment using forensic structural engineering and structural health monitoring.</w:t>
      </w:r>
    </w:p>
    <w:p w14:paraId="33663A13" w14:textId="1B4F8EF7" w:rsidR="00E8144F" w:rsidRPr="00E8144F" w:rsidRDefault="00E8144F" w:rsidP="00982594">
      <w:pPr>
        <w:overflowPunct/>
        <w:spacing w:line="240" w:lineRule="auto"/>
        <w:jc w:val="left"/>
        <w:textAlignment w:val="auto"/>
      </w:pPr>
      <w:r w:rsidRPr="00E8144F">
        <w:t xml:space="preserve">Renzi et al. [1] enhanced bridge safety by integrating updated guidelines for risk classification, management, and seismic assessment into Italian regulations. </w:t>
      </w:r>
      <w:proofErr w:type="spellStart"/>
      <w:r w:rsidRPr="00E8144F">
        <w:t>Cutrone</w:t>
      </w:r>
      <w:proofErr w:type="spellEnd"/>
      <w:r w:rsidRPr="00E8144F">
        <w:t xml:space="preserve"> </w:t>
      </w:r>
      <w:r w:rsidRPr="00E8144F">
        <w:lastRenderedPageBreak/>
        <w:t xml:space="preserve">et al. [2] addressed landslide risk assessment in bridge management by refining calculation parameters for the “Overall Attention Class” and suggested integrating innovative techniques into Web GIS platforms. Ting Fu et al. [3] introduced a two-stage risk evaluation model that combines the </w:t>
      </w:r>
      <w:r w:rsidR="0007201F" w:rsidRPr="00E74DBD">
        <w:t>Likelihood Exposure</w:t>
      </w:r>
      <w:r w:rsidR="0007201F">
        <w:t xml:space="preserve"> </w:t>
      </w:r>
      <w:r w:rsidR="0007201F" w:rsidRPr="00E74DBD">
        <w:t>Consequences</w:t>
      </w:r>
      <w:r w:rsidR="00424BE7">
        <w:t xml:space="preserve"> </w:t>
      </w:r>
      <w:r w:rsidRPr="00E8144F">
        <w:t xml:space="preserve">method and a Bayesian network for analyzing bridge maintenance risks and </w:t>
      </w:r>
      <w:r w:rsidR="007D523A">
        <w:t>guiding</w:t>
      </w:r>
      <w:r w:rsidRPr="00E8144F">
        <w:t xml:space="preserve"> targeted prevention measures.</w:t>
      </w:r>
    </w:p>
    <w:p w14:paraId="73CECCC1" w14:textId="2186BFF1" w:rsidR="00E8144F" w:rsidRPr="00E8144F" w:rsidRDefault="00E8144F" w:rsidP="00E8144F">
      <w:proofErr w:type="spellStart"/>
      <w:r w:rsidRPr="00E8144F">
        <w:t>Filizadeh</w:t>
      </w:r>
      <w:proofErr w:type="spellEnd"/>
      <w:r w:rsidRPr="00E8144F">
        <w:t xml:space="preserve"> et al. [4] proposed a probabilistic framework for optimizing post-earthquake monitoring strategies for reinforced concrete bridges using Monte Carlo simulations. Wang et al. [5] presented a rapid seismic risk assessment framework for bridges using</w:t>
      </w:r>
      <w:r w:rsidR="00E74DBD">
        <w:t xml:space="preserve"> </w:t>
      </w:r>
      <w:r w:rsidR="0007201F">
        <w:t>Unmanned Aerial Vehicles</w:t>
      </w:r>
      <w:r w:rsidR="0007201F" w:rsidRPr="00E8144F">
        <w:t xml:space="preserve"> </w:t>
      </w:r>
      <w:r w:rsidR="0007201F">
        <w:t>(</w:t>
      </w:r>
      <w:r w:rsidRPr="00E8144F">
        <w:t>UAV</w:t>
      </w:r>
      <w:r w:rsidR="0007201F">
        <w:t>)</w:t>
      </w:r>
      <w:r w:rsidRPr="00E8144F">
        <w:t xml:space="preserve"> aerial photogrammetry and Monte Carlo simulations, highlighting the method’s feasibility and efficiency. </w:t>
      </w:r>
      <w:proofErr w:type="spellStart"/>
      <w:r w:rsidRPr="00E8144F">
        <w:t>Lemos</w:t>
      </w:r>
      <w:proofErr w:type="spellEnd"/>
      <w:r w:rsidRPr="00E8144F">
        <w:t xml:space="preserve"> et al. [6] analyzed risk management for two bridges in Lisbon, emphasizing the importance of comprehensive risk management in public-private partnerships. </w:t>
      </w:r>
      <w:proofErr w:type="spellStart"/>
      <w:r w:rsidRPr="00E8144F">
        <w:t>Flenga</w:t>
      </w:r>
      <w:proofErr w:type="spellEnd"/>
      <w:r w:rsidRPr="00E8144F">
        <w:t xml:space="preserve"> and </w:t>
      </w:r>
      <w:proofErr w:type="spellStart"/>
      <w:r w:rsidRPr="00E8144F">
        <w:t>Favvata</w:t>
      </w:r>
      <w:proofErr w:type="spellEnd"/>
      <w:r w:rsidRPr="00E8144F">
        <w:t xml:space="preserve"> [7] presented a risk-targeted decision model for assessing the seismic performance of RC structures to ensure, structural safety with critical separation gaps.</w:t>
      </w:r>
    </w:p>
    <w:p w14:paraId="5F9210DB" w14:textId="6C3F96A4" w:rsidR="00E8144F" w:rsidRPr="00E8144F" w:rsidRDefault="00E8144F" w:rsidP="0007201F">
      <w:r w:rsidRPr="00E8144F">
        <w:t>Guzman-Acevedo et al. [8] developed a risk assessment methodology for bridges by integrating</w:t>
      </w:r>
      <w:r w:rsidR="0007201F">
        <w:t xml:space="preserve"> </w:t>
      </w:r>
      <w:r w:rsidR="0007201F" w:rsidRPr="0007201F">
        <w:rPr>
          <w:szCs w:val="14"/>
        </w:rPr>
        <w:t xml:space="preserve">Interferometric Synthetic Aperture Radar </w:t>
      </w:r>
      <w:r w:rsidR="004944C5">
        <w:t>(</w:t>
      </w:r>
      <w:r w:rsidR="004944C5" w:rsidRPr="00E8144F">
        <w:t>In SAR</w:t>
      </w:r>
      <w:r w:rsidR="0007201F">
        <w:t>)</w:t>
      </w:r>
      <w:r w:rsidRPr="00E8144F">
        <w:t xml:space="preserve"> time series data with a calibrated finite element (FE) model, effectively identifying </w:t>
      </w:r>
      <w:r w:rsidR="007D523A">
        <w:t>low-risk</w:t>
      </w:r>
      <w:r w:rsidRPr="00E8144F">
        <w:t xml:space="preserve"> probabilities and </w:t>
      </w:r>
      <w:r w:rsidR="007D523A">
        <w:t>validating</w:t>
      </w:r>
      <w:r w:rsidRPr="00E8144F">
        <w:t xml:space="preserve"> the </w:t>
      </w:r>
      <w:proofErr w:type="spellStart"/>
      <w:r w:rsidRPr="00E8144F">
        <w:t>InSAR’s</w:t>
      </w:r>
      <w:proofErr w:type="spellEnd"/>
      <w:r w:rsidRPr="00E8144F">
        <w:t xml:space="preserve"> potential in structural health monitoring. </w:t>
      </w:r>
      <w:proofErr w:type="spellStart"/>
      <w:r w:rsidRPr="00E8144F">
        <w:t>Quincia</w:t>
      </w:r>
      <w:proofErr w:type="spellEnd"/>
      <w:r w:rsidRPr="00E8144F">
        <w:t xml:space="preserve"> et al. [9] evaluated the performance-based earthquake engineering (PBEE) approach for industrial plants and found its robustness and reliability in risk assessments. </w:t>
      </w:r>
      <w:proofErr w:type="spellStart"/>
      <w:r w:rsidRPr="00E8144F">
        <w:t>Renzia</w:t>
      </w:r>
      <w:proofErr w:type="spellEnd"/>
      <w:r w:rsidRPr="00E8144F">
        <w:t xml:space="preserve"> et al. [10] examined the implementation of the new Italian Guidelines for risk classification and management of existing bridges within an integrated risk management system, focusing on seismic vulnerability and network performance. They concluded that adopting these guidelines and Safety Management Systems (SMS) significantly enhances the safety and resilience of road networks.</w:t>
      </w:r>
    </w:p>
    <w:p w14:paraId="019D8E6F" w14:textId="642486C8" w:rsidR="00E8144F" w:rsidRDefault="00E8144F" w:rsidP="00E8144F">
      <w:r w:rsidRPr="00E8144F">
        <w:t xml:space="preserve">The literature reviewed demonstrates the evolution and integration of advanced risk assessment methodologies in bridge management, emphasizing seismic vulnerability, hydrogeological risks, structural health monitoring, and maintenance strategies. By leveraging the insights from these studies, this study aims to develop a comprehensive risk assessment framework tailored to flyover bridges, specifically utilizing the risk matrix and the </w:t>
      </w:r>
      <w:r w:rsidR="0007201F" w:rsidRPr="00E8144F">
        <w:t xml:space="preserve">Analytical Hierarchy Process </w:t>
      </w:r>
      <w:r w:rsidRPr="00E8144F">
        <w:t>(AHP) to ensure enhanced safety and resource optimization.</w:t>
      </w:r>
    </w:p>
    <w:p w14:paraId="146DE8E1" w14:textId="77777777" w:rsidR="00E8144F" w:rsidRDefault="00E8144F" w:rsidP="00E8144F">
      <w:pPr>
        <w:pStyle w:val="heading1"/>
      </w:pPr>
      <w:r>
        <w:t>Methodology</w:t>
      </w:r>
    </w:p>
    <w:p w14:paraId="578BCE30" w14:textId="77777777" w:rsidR="00E8144F" w:rsidRDefault="00E8144F" w:rsidP="00E8144F"/>
    <w:p w14:paraId="2971F399" w14:textId="2596F80B" w:rsidR="00E8144F" w:rsidRPr="00E8144F" w:rsidRDefault="00E8144F" w:rsidP="00E8144F">
      <w:pPr>
        <w:ind w:firstLine="0"/>
      </w:pPr>
      <w:r w:rsidRPr="00E8144F">
        <w:t xml:space="preserve">The methodology for integrating forensic investigation with risk assessment </w:t>
      </w:r>
      <w:r w:rsidR="00AC60E2">
        <w:t>for assessing the condition of a</w:t>
      </w:r>
      <w:r w:rsidRPr="00E8144F">
        <w:t xml:space="preserve"> flyover bridge involves several critical steps, as illustrated in </w:t>
      </w:r>
      <w:r w:rsidR="00B15D99">
        <w:fldChar w:fldCharType="begin"/>
      </w:r>
      <w:r w:rsidR="00B15D99">
        <w:instrText xml:space="preserve"> REF _Ref174487135 \h </w:instrText>
      </w:r>
      <w:r w:rsidR="00B15D99">
        <w:fldChar w:fldCharType="separate"/>
      </w:r>
      <w:r w:rsidR="00B15D99">
        <w:rPr>
          <w:b/>
        </w:rPr>
        <w:t xml:space="preserve">Fig. </w:t>
      </w:r>
      <w:r w:rsidR="00B15D99">
        <w:rPr>
          <w:b/>
          <w:noProof/>
        </w:rPr>
        <w:t>1</w:t>
      </w:r>
      <w:r w:rsidR="00B15D99">
        <w:fldChar w:fldCharType="end"/>
      </w:r>
      <w:r w:rsidRPr="00E8144F">
        <w:t xml:space="preserve">. </w:t>
      </w:r>
    </w:p>
    <w:p w14:paraId="139B02CF" w14:textId="77777777" w:rsidR="00E8144F" w:rsidRDefault="00E8144F" w:rsidP="00E8144F"/>
    <w:p w14:paraId="3CC78AF4" w14:textId="77777777" w:rsidR="00E8144F" w:rsidRDefault="00E8144F" w:rsidP="00E8144F">
      <w:pPr>
        <w:jc w:val="center"/>
      </w:pPr>
      <w:r w:rsidRPr="00024022">
        <w:rPr>
          <w:noProof/>
        </w:rPr>
        <w:lastRenderedPageBreak/>
        <w:drawing>
          <wp:inline distT="0" distB="0" distL="0" distR="0" wp14:anchorId="01A139B5" wp14:editId="212F975E">
            <wp:extent cx="2743200" cy="2855015"/>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0" cy="2855015"/>
                    </a:xfrm>
                    <a:prstGeom prst="rect">
                      <a:avLst/>
                    </a:prstGeom>
                    <a:noFill/>
                    <a:ln>
                      <a:noFill/>
                    </a:ln>
                  </pic:spPr>
                </pic:pic>
              </a:graphicData>
            </a:graphic>
          </wp:inline>
        </w:drawing>
      </w:r>
    </w:p>
    <w:p w14:paraId="4E2A7E9E" w14:textId="05AC0871" w:rsidR="00E8144F" w:rsidRDefault="00E8144F" w:rsidP="00E8144F">
      <w:pPr>
        <w:pStyle w:val="figurecaption"/>
      </w:pPr>
      <w:bookmarkStart w:id="0" w:name="_Ref174487135"/>
      <w:r>
        <w:rPr>
          <w:b/>
        </w:rPr>
        <w:t xml:space="preserve">Fig. </w:t>
      </w:r>
      <w:r>
        <w:rPr>
          <w:b/>
        </w:rPr>
        <w:fldChar w:fldCharType="begin"/>
      </w:r>
      <w:r>
        <w:rPr>
          <w:b/>
        </w:rPr>
        <w:instrText xml:space="preserve"> SEQ "Figure" \* MERGEFORMAT </w:instrText>
      </w:r>
      <w:r>
        <w:rPr>
          <w:b/>
        </w:rPr>
        <w:fldChar w:fldCharType="separate"/>
      </w:r>
      <w:r w:rsidR="007D523A">
        <w:rPr>
          <w:b/>
          <w:noProof/>
        </w:rPr>
        <w:t>1</w:t>
      </w:r>
      <w:r>
        <w:rPr>
          <w:b/>
        </w:rPr>
        <w:fldChar w:fldCharType="end"/>
      </w:r>
      <w:bookmarkEnd w:id="0"/>
      <w:r>
        <w:rPr>
          <w:b/>
        </w:rPr>
        <w:t>.</w:t>
      </w:r>
      <w:r>
        <w:t xml:space="preserve"> </w:t>
      </w:r>
      <w:r w:rsidRPr="00E8144F">
        <w:t>Methodology</w:t>
      </w:r>
      <w:r>
        <w:t xml:space="preserve"> flow chart for integrating forensic and risk assessment.</w:t>
      </w:r>
    </w:p>
    <w:p w14:paraId="4F485448" w14:textId="77777777" w:rsidR="00E8144F" w:rsidRPr="00E8144F" w:rsidRDefault="00E8144F" w:rsidP="00E8144F">
      <w:pPr>
        <w:pStyle w:val="p1a"/>
      </w:pPr>
      <w:r w:rsidRPr="00E8144F">
        <w:t>Initially, a thorough structural forensic investigation was conducted to gather detailed information on the bridge’s condition and any past incidents. This phase collects relevant data, such as structural details and maintenance records, which are then used to identify and prioritize risks through the project’s Work Breakdown Structure (WBS). A comprehensive risk assessment is then performed using both qualitative and quantitative approaches. Qualitative assessment employs a Risk Matrix to evaluate risks based on their likelihood and impact, whereas quantitative assessment uses the Analytical Hierarchy Process (AHP). The results of these assessments are compared to identify the most critical risks. These critical risks are documented and evaluated to determine whether they fall within tolerable limits. If intolerable, control measures are recommended to mitigate them. For tolerable risks, recommendations are developed to address potential risks in future evaluation and notable for new similar projects, ensuring that lessons learned are applied to improve risk management practices.</w:t>
      </w:r>
    </w:p>
    <w:p w14:paraId="24D622AD" w14:textId="77777777" w:rsidR="00E8144F" w:rsidRPr="00DF24BA" w:rsidRDefault="00E8144F" w:rsidP="00E8144F">
      <w:r w:rsidRPr="00DF24BA">
        <w:t>This methodology ensures a comprehensive approach to identifying, evaluating, and mitigating risks, effectively linking forensic investigation with risk assessment to enhance decision-making and improve the safety and integrity of the flyover bridge.</w:t>
      </w:r>
    </w:p>
    <w:p w14:paraId="45FD1C7E" w14:textId="77777777" w:rsidR="00E8144F" w:rsidRDefault="00E8144F" w:rsidP="00E8144F">
      <w:pPr>
        <w:pStyle w:val="heading2"/>
      </w:pPr>
      <w:r>
        <w:t>Qualitative Risk Assessment</w:t>
      </w:r>
    </w:p>
    <w:p w14:paraId="1A3AD8DB" w14:textId="6079EF03" w:rsidR="00E8144F" w:rsidRPr="00E155A5" w:rsidRDefault="00E8144F" w:rsidP="00E8144F">
      <w:pPr>
        <w:ind w:firstLine="0"/>
      </w:pPr>
      <w:r w:rsidRPr="00E8144F">
        <w:t xml:space="preserve">Qualitative risk assessment is performed using a risk matrix approach, where identified risks are systematically arranged in a matrix based on their risk ratings. These ratings are derived from the product of likelihood and impact probabilities. Likelihood measures the probability of a risk occurring, while impact probability assesses the potential consequences of the risk on the project if it occurs. The evaluation of risks using </w:t>
      </w:r>
      <w:r w:rsidRPr="00E8144F">
        <w:lastRenderedPageBreak/>
        <w:t xml:space="preserve">this matrix is governed by historical data from forensic investigations, IRM guidelines [11], and Indian standards [12]. This approach ensures a comprehensive risk assessment by integrating both historical evidence and established standards to assess the severity and the probability of each risk event. Dey [13] developed an integrated risk management framework that combines the AHP with risk mapping to address project risks at multiple levels. Applied to a 1500 km oil pipeline project, this framework demonstrates its effectiveness in managing both business and operational risks. AHP is used to select the least risky project, while risk analysis at work </w:t>
      </w:r>
      <w:r w:rsidR="007D523A">
        <w:t>packages</w:t>
      </w:r>
      <w:r w:rsidRPr="00E8144F">
        <w:t xml:space="preserve"> and activity levels is conducted using risk maps.</w:t>
      </w:r>
    </w:p>
    <w:p w14:paraId="5E9DFD2F" w14:textId="77777777" w:rsidR="00E8144F" w:rsidRDefault="00E8144F" w:rsidP="00E8144F">
      <w:pPr>
        <w:pStyle w:val="heading2"/>
      </w:pPr>
      <w:r>
        <w:t xml:space="preserve">Quantitative Risk Assessment </w:t>
      </w:r>
    </w:p>
    <w:p w14:paraId="6E06D3AE" w14:textId="61A5723E" w:rsidR="00E8144F" w:rsidRDefault="009C2C42" w:rsidP="00E8144F">
      <w:pPr>
        <w:pStyle w:val="p1a"/>
      </w:pPr>
      <w:r>
        <w:t xml:space="preserve">One of the popular tools of quantitative risk assessment </w:t>
      </w:r>
      <w:r w:rsidR="00E815D2">
        <w:t xml:space="preserve">is </w:t>
      </w:r>
      <w:r w:rsidR="007D523A">
        <w:t xml:space="preserve">the </w:t>
      </w:r>
      <w:r w:rsidR="00E815D2">
        <w:t xml:space="preserve">Analytical Hierarchy Process. </w:t>
      </w:r>
      <w:r w:rsidR="00EF046A">
        <w:t xml:space="preserve">It </w:t>
      </w:r>
      <w:r w:rsidR="00831C4F">
        <w:t>is</w:t>
      </w:r>
      <w:r w:rsidR="00EF046A">
        <w:t xml:space="preserve"> </w:t>
      </w:r>
      <w:r w:rsidR="007D523A">
        <w:t>a multiple-criteria</w:t>
      </w:r>
      <w:r w:rsidR="00E8144F" w:rsidRPr="00E8144F">
        <w:t xml:space="preserve"> decision-making approach and, is utilized for quantitative risk assessment by employing pairwise comparisons to evaluate the relative importance of various risks and prioritize them accordingly [14]. In the pairwise comparison matrix, diagonal elements are assigned a value of unity, reflecting that each risk is compared to itself.  Thus, each risk holds equal importance. For the upper triangle of the matrix (above the diagonal), each risk in a row is compared to the corresponding risk in the column. Values were assigned based on </w:t>
      </w:r>
      <w:proofErr w:type="spellStart"/>
      <w:r w:rsidR="00E8144F" w:rsidRPr="00E8144F">
        <w:t>Saaty’s</w:t>
      </w:r>
      <w:proofErr w:type="spellEnd"/>
      <w:r w:rsidR="00E8144F" w:rsidRPr="00E8144F">
        <w:t xml:space="preserve"> Scale to represent the relative importance of one risk compared to another</w:t>
      </w:r>
      <w:r w:rsidR="00835EBA">
        <w:t>, pairwise comparisons</w:t>
      </w:r>
      <w:r w:rsidR="00E8144F" w:rsidRPr="00E8144F">
        <w:t xml:space="preserve">. For example, if Land Acquisition (R2) is deemed moderately more critical than Inaccurate Traffic Study (R1), a value of 3 (R2 is thrice </w:t>
      </w:r>
      <w:r w:rsidR="007D523A">
        <w:t xml:space="preserve">more </w:t>
      </w:r>
      <w:r w:rsidR="00E8144F" w:rsidRPr="00E8144F">
        <w:t>critical than R1) is assigned. Conversely, the lower triangle of the matrix (below the diagonal) contains the reciprocals of the upper triangle values; thus, if R2/R1 is 3, then R1/R2 is 1/3. To derive prioritized risks, the eigenvector is obtained by normalizing the pairwise comparison matrix. This was followed by consistency analysis to ensure that judgments align with risk tolerance limits, thus validating the reliability of the risk prioritization process.</w:t>
      </w:r>
    </w:p>
    <w:p w14:paraId="16F3B1B9" w14:textId="77777777" w:rsidR="00E8144F" w:rsidRDefault="00E8144F" w:rsidP="00E8144F">
      <w:pPr>
        <w:pStyle w:val="p1a"/>
        <w:ind w:firstLine="227"/>
      </w:pPr>
      <w:r w:rsidRPr="00E8144F">
        <w:t xml:space="preserve">Dey [15] integrated the Analytic Hierarchy Process (AHP) and Decision Tree Analysis (DTA) for project risk management by systematically identifying and quantifying risk factors through AHP, evaluating their impact, and generating alternative responses using decision trees. This combined methodology, applied to a cross-country petroleum pipeline project, demonstrates improved decision-making and risk assessment for large-scale construction projects. Similarly, </w:t>
      </w:r>
      <w:proofErr w:type="spellStart"/>
      <w:r w:rsidRPr="00E8144F">
        <w:t>Aminbakhsh</w:t>
      </w:r>
      <w:proofErr w:type="spellEnd"/>
      <w:r w:rsidRPr="00E8144F">
        <w:t xml:space="preserve"> [16] presented a safety risk assessment framework that combines the Cost of Safety (COS) model with AHP, thereby aiding in prioritizing safety risks and budgeting for construction projects. Their framework, applied to a real-life project, enhances decision-making for safety investments despite the challenges of extensive pairwise comparisons. These studies highlight the importance of AHPs in developing effective risk management methodologies, informing and enhancing the present approach of integrating forensic investigations into risk assessment for flyover bridges.</w:t>
      </w:r>
    </w:p>
    <w:p w14:paraId="1DF5D542" w14:textId="77777777" w:rsidR="00E8144F" w:rsidRDefault="00E8144F" w:rsidP="00E8144F">
      <w:pPr>
        <w:pStyle w:val="heading1"/>
      </w:pPr>
      <w:r>
        <w:lastRenderedPageBreak/>
        <w:t>Case Study</w:t>
      </w:r>
    </w:p>
    <w:p w14:paraId="3FA2C20A" w14:textId="2ED8FC86" w:rsidR="00E8144F" w:rsidRPr="00E8144F" w:rsidRDefault="00E8144F" w:rsidP="00B15D99">
      <w:pPr>
        <w:pStyle w:val="p1a"/>
      </w:pPr>
      <w:r w:rsidRPr="00E8144F">
        <w:t xml:space="preserve">The case study’s forensic investigation was derived from a previous study by Neridu et al. [17]. The study examines a minor box-type bridge with two 4-meter spans, a height of 4 meters, and a total length of 16 meters. The bridge is supported by a pier wall with a thickness of 300 mm, a deck slab, and a bottom raft with a thickness of 400 mm. The construction utilized M30 grade concrete. This twin culvert bridge was diagnosed based on distress observed at the </w:t>
      </w:r>
      <w:r w:rsidR="007D523A">
        <w:t>mid-pier</w:t>
      </w:r>
      <w:r w:rsidRPr="00E8144F">
        <w:t xml:space="preserve"> wall. The initial visual inspection revealed active vertical cracks with widths greater than 0.3 mm, indicating structural cracking. Additionally, honeycombs and patchworks were noted, which initially suggested poor construction practices.</w:t>
      </w:r>
      <w:r w:rsidR="00B15D99">
        <w:t xml:space="preserve"> </w:t>
      </w:r>
      <w:r w:rsidRPr="00E8144F">
        <w:t xml:space="preserve">The visual inspection data were further validated using non-destructive testing and numerical analysis. Based on the results of the Rebound Hammer, UPV, and core sample tests, it was concluded that the current strength of the </w:t>
      </w:r>
      <w:r w:rsidR="007D523A">
        <w:t>mid-pier</w:t>
      </w:r>
      <w:r w:rsidRPr="00E8144F">
        <w:t xml:space="preserve"> wall showed a 40-45% reduction in the design strength. This reduction was attributed to inadequate material mixing, curing, and consolidation, which led to voids, cracks, and other defects, highlighting the potential use of low-quality materials. Numerical analysis provided evidence that cracks, located under the wheel paths of vehicles, developed due to insufficient strength for the transfer mechanism of wheel-load distributions.</w:t>
      </w:r>
    </w:p>
    <w:p w14:paraId="61FADEB6" w14:textId="575697AD" w:rsidR="00E8144F" w:rsidRPr="00D169F0" w:rsidRDefault="00E8144F" w:rsidP="00E8144F">
      <w:r w:rsidRPr="00E8144F">
        <w:t xml:space="preserve">The forensic investigation revealed the need for repair and retrofitting of the </w:t>
      </w:r>
      <w:r w:rsidR="007D523A">
        <w:t>mid-pier</w:t>
      </w:r>
      <w:r w:rsidRPr="00E8144F">
        <w:t xml:space="preserve"> wall to ensure the bridge’s serviceability. Thus, the present study focuses on risk assessment based on forensic data through the proposed framework (refer to Fig. 1) for recommending critical risks and control measures for future project evaluations and any similar projects, ensuring proper functionality and structural safety.</w:t>
      </w:r>
    </w:p>
    <w:p w14:paraId="703EC73A" w14:textId="77777777" w:rsidR="00E8144F" w:rsidRDefault="00E8144F" w:rsidP="00E8144F">
      <w:pPr>
        <w:pStyle w:val="heading2"/>
      </w:pPr>
      <w:r>
        <w:t>Risk Identification</w:t>
      </w:r>
    </w:p>
    <w:p w14:paraId="7FA75930" w14:textId="6734BF46" w:rsidR="00B15D99" w:rsidRDefault="00E8144F" w:rsidP="00E8144F">
      <w:pPr>
        <w:ind w:firstLine="0"/>
      </w:pPr>
      <w:r w:rsidRPr="00E8144F">
        <w:t xml:space="preserve">The project work breakdown structure is developed as illustrated in </w:t>
      </w:r>
      <w:r w:rsidR="00B15D99">
        <w:fldChar w:fldCharType="begin"/>
      </w:r>
      <w:r w:rsidR="00B15D99">
        <w:instrText xml:space="preserve"> REF _Ref174487098 \h </w:instrText>
      </w:r>
      <w:r w:rsidR="00B15D99">
        <w:fldChar w:fldCharType="separate"/>
      </w:r>
      <w:r w:rsidR="00B15D99">
        <w:rPr>
          <w:b/>
        </w:rPr>
        <w:t xml:space="preserve">Fig. </w:t>
      </w:r>
      <w:r w:rsidR="00B15D99">
        <w:rPr>
          <w:b/>
          <w:noProof/>
        </w:rPr>
        <w:t>2</w:t>
      </w:r>
      <w:r w:rsidR="00B15D99">
        <w:fldChar w:fldCharType="end"/>
      </w:r>
      <w:r w:rsidRPr="00E8144F">
        <w:t xml:space="preserve">, and corresponding risks are identified at each level based on the data acquired from the forensic investigations. The data acquisition follows two major approaches in forensic investigations [18]: the pathology-based approach, in which data are collected and interpreted through current condition assessment [17], and the </w:t>
      </w:r>
      <w:r w:rsidR="007D523A">
        <w:t>lifecycle-based</w:t>
      </w:r>
      <w:r w:rsidRPr="00E8144F">
        <w:t xml:space="preserve"> approach, in which data are gathered throughout the project life cycle. Risk identification and prioritization are then performed based on the acquired data, adhering to standard guidelines [11,12]</w:t>
      </w:r>
      <w:r w:rsidR="00B15D99">
        <w:t>.</w:t>
      </w:r>
    </w:p>
    <w:p w14:paraId="3E7A0C55" w14:textId="77777777" w:rsidR="00B15D99" w:rsidRPr="00E8144F" w:rsidRDefault="00B15D99" w:rsidP="00E8144F">
      <w:pPr>
        <w:ind w:firstLine="0"/>
      </w:pPr>
    </w:p>
    <w:p w14:paraId="1CBBE375" w14:textId="77777777" w:rsidR="00E8144F" w:rsidRDefault="00E8144F" w:rsidP="00E8144F">
      <w:pPr>
        <w:jc w:val="center"/>
      </w:pPr>
      <w:r w:rsidRPr="00453E1E">
        <w:rPr>
          <w:noProof/>
        </w:rPr>
        <w:drawing>
          <wp:inline distT="0" distB="0" distL="0" distR="0" wp14:anchorId="39CEB6FC" wp14:editId="4F6D7FB9">
            <wp:extent cx="3199242" cy="145415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8796"/>
                    <a:stretch/>
                  </pic:blipFill>
                  <pic:spPr bwMode="auto">
                    <a:xfrm>
                      <a:off x="0" y="0"/>
                      <a:ext cx="3202304" cy="1455542"/>
                    </a:xfrm>
                    <a:prstGeom prst="rect">
                      <a:avLst/>
                    </a:prstGeom>
                    <a:noFill/>
                    <a:ln>
                      <a:noFill/>
                    </a:ln>
                    <a:extLst>
                      <a:ext uri="{53640926-AAD7-44D8-BBD7-CCE9431645EC}">
                        <a14:shadowObscured xmlns:a14="http://schemas.microsoft.com/office/drawing/2010/main"/>
                      </a:ext>
                    </a:extLst>
                  </pic:spPr>
                </pic:pic>
              </a:graphicData>
            </a:graphic>
          </wp:inline>
        </w:drawing>
      </w:r>
    </w:p>
    <w:p w14:paraId="6F11B4B3" w14:textId="20EF0897" w:rsidR="00E8144F" w:rsidRDefault="00E8144F" w:rsidP="00E8144F">
      <w:pPr>
        <w:pStyle w:val="figurecaption"/>
      </w:pPr>
      <w:bookmarkStart w:id="1" w:name="_Ref174487098"/>
      <w:r>
        <w:rPr>
          <w:b/>
        </w:rPr>
        <w:t xml:space="preserve">Fig. </w:t>
      </w:r>
      <w:r>
        <w:rPr>
          <w:b/>
        </w:rPr>
        <w:fldChar w:fldCharType="begin"/>
      </w:r>
      <w:r>
        <w:rPr>
          <w:b/>
        </w:rPr>
        <w:instrText xml:space="preserve"> SEQ "Figure" \* MERGEFORMAT </w:instrText>
      </w:r>
      <w:r>
        <w:rPr>
          <w:b/>
        </w:rPr>
        <w:fldChar w:fldCharType="separate"/>
      </w:r>
      <w:r w:rsidR="007D523A">
        <w:rPr>
          <w:b/>
          <w:noProof/>
        </w:rPr>
        <w:t>2</w:t>
      </w:r>
      <w:r>
        <w:rPr>
          <w:b/>
        </w:rPr>
        <w:fldChar w:fldCharType="end"/>
      </w:r>
      <w:bookmarkEnd w:id="1"/>
      <w:r>
        <w:rPr>
          <w:b/>
        </w:rPr>
        <w:t>.</w:t>
      </w:r>
      <w:r w:rsidR="00CA5241">
        <w:rPr>
          <w:b/>
        </w:rPr>
        <w:t xml:space="preserve"> </w:t>
      </w:r>
      <w:r w:rsidRPr="00E8144F">
        <w:t>Project</w:t>
      </w:r>
      <w:r>
        <w:t xml:space="preserve"> work </w:t>
      </w:r>
      <w:r w:rsidR="007D523A">
        <w:t>break</w:t>
      </w:r>
      <w:r>
        <w:t xml:space="preserve"> down structure </w:t>
      </w:r>
    </w:p>
    <w:p w14:paraId="154E35E2" w14:textId="77777777" w:rsidR="00E8144F" w:rsidRDefault="00E8144F" w:rsidP="00E8144F">
      <w:pPr>
        <w:pStyle w:val="heading2"/>
      </w:pPr>
      <w:r>
        <w:lastRenderedPageBreak/>
        <w:t>Risk Matrix Approach</w:t>
      </w:r>
    </w:p>
    <w:p w14:paraId="7475E681" w14:textId="0D294C72" w:rsidR="00E8144F" w:rsidRDefault="00E8144F" w:rsidP="009679C0">
      <w:pPr>
        <w:ind w:firstLine="0"/>
      </w:pPr>
      <w:r w:rsidRPr="00E8144F">
        <w:t xml:space="preserve">The classified sectors and their respective risks were assessed using a risk matrix approach during the pre-construction, construction, and post-construction phases. The likelihood and impact are both scaled to 3 based on the number of identified risks, resulting in a 3 x 3 risk matrix. Risk maps, developed by prioritizing identified risks based on forensic data, are shown in </w:t>
      </w:r>
      <w:r w:rsidR="00B15D99">
        <w:fldChar w:fldCharType="begin"/>
      </w:r>
      <w:r w:rsidR="00B15D99">
        <w:instrText xml:space="preserve"> REF _Ref174487250 \h </w:instrText>
      </w:r>
      <w:r w:rsidR="00B15D99">
        <w:fldChar w:fldCharType="separate"/>
      </w:r>
      <w:r w:rsidR="00B15D99">
        <w:rPr>
          <w:b/>
        </w:rPr>
        <w:t xml:space="preserve">Fig. </w:t>
      </w:r>
      <w:r w:rsidR="00B15D99">
        <w:rPr>
          <w:b/>
          <w:noProof/>
        </w:rPr>
        <w:t>3</w:t>
      </w:r>
      <w:r w:rsidR="00B15D99">
        <w:fldChar w:fldCharType="end"/>
      </w:r>
      <w:r w:rsidR="00B15D99">
        <w:t xml:space="preserve"> </w:t>
      </w:r>
      <w:r w:rsidRPr="00E8144F">
        <w:t xml:space="preserve">to </w:t>
      </w:r>
      <w:r w:rsidR="00B15D99">
        <w:fldChar w:fldCharType="begin"/>
      </w:r>
      <w:r w:rsidR="00B15D99">
        <w:instrText xml:space="preserve"> REF _Ref174487311 \h </w:instrText>
      </w:r>
      <w:r w:rsidR="00B15D99">
        <w:fldChar w:fldCharType="separate"/>
      </w:r>
      <w:r w:rsidR="00B15D99">
        <w:rPr>
          <w:b/>
        </w:rPr>
        <w:t xml:space="preserve">Fig. </w:t>
      </w:r>
      <w:r w:rsidR="00B15D99">
        <w:rPr>
          <w:b/>
          <w:noProof/>
        </w:rPr>
        <w:t>5</w:t>
      </w:r>
      <w:r w:rsidR="00B15D99">
        <w:fldChar w:fldCharType="end"/>
      </w:r>
      <w:r w:rsidRPr="00E8144F">
        <w:t>.  The construction phase includes global sectors; feasibility study and design, tendering, project planning</w:t>
      </w:r>
      <w:r w:rsidR="007D523A">
        <w:t>,</w:t>
      </w:r>
      <w:r w:rsidRPr="00E8144F">
        <w:t xml:space="preserve"> and scheduling. </w:t>
      </w:r>
    </w:p>
    <w:p w14:paraId="6A18E709" w14:textId="77777777" w:rsidR="009679C0" w:rsidRDefault="009679C0" w:rsidP="009679C0">
      <w:pPr>
        <w:ind w:firstLine="0"/>
      </w:pPr>
    </w:p>
    <w:p w14:paraId="58642DFE" w14:textId="77777777" w:rsidR="00E8144F" w:rsidRDefault="00E8144F" w:rsidP="00E8144F">
      <w:pPr>
        <w:jc w:val="center"/>
      </w:pPr>
      <w:r w:rsidRPr="00BC4DCA">
        <w:rPr>
          <w:noProof/>
        </w:rPr>
        <w:drawing>
          <wp:inline distT="0" distB="0" distL="0" distR="0" wp14:anchorId="471A81E6" wp14:editId="5EF6228E">
            <wp:extent cx="2743200" cy="1349627"/>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349627"/>
                    </a:xfrm>
                    <a:prstGeom prst="rect">
                      <a:avLst/>
                    </a:prstGeom>
                    <a:noFill/>
                    <a:ln>
                      <a:noFill/>
                    </a:ln>
                  </pic:spPr>
                </pic:pic>
              </a:graphicData>
            </a:graphic>
          </wp:inline>
        </w:drawing>
      </w:r>
    </w:p>
    <w:p w14:paraId="16454E6E" w14:textId="5283C11A" w:rsidR="00E8144F" w:rsidRDefault="00E8144F" w:rsidP="009679C0">
      <w:pPr>
        <w:pStyle w:val="figurecaption"/>
      </w:pPr>
      <w:bookmarkStart w:id="2" w:name="_Ref174487250"/>
      <w:r>
        <w:rPr>
          <w:b/>
        </w:rPr>
        <w:t xml:space="preserve">Fig. </w:t>
      </w:r>
      <w:r>
        <w:rPr>
          <w:b/>
        </w:rPr>
        <w:fldChar w:fldCharType="begin"/>
      </w:r>
      <w:r>
        <w:rPr>
          <w:b/>
        </w:rPr>
        <w:instrText xml:space="preserve"> SEQ "Figure" \* MERGEFORMAT </w:instrText>
      </w:r>
      <w:r>
        <w:rPr>
          <w:b/>
        </w:rPr>
        <w:fldChar w:fldCharType="separate"/>
      </w:r>
      <w:r w:rsidR="007D523A">
        <w:rPr>
          <w:b/>
          <w:noProof/>
        </w:rPr>
        <w:t>3</w:t>
      </w:r>
      <w:r>
        <w:rPr>
          <w:b/>
        </w:rPr>
        <w:fldChar w:fldCharType="end"/>
      </w:r>
      <w:bookmarkEnd w:id="2"/>
      <w:r w:rsidR="00B15D99">
        <w:rPr>
          <w:b/>
        </w:rPr>
        <w:t>(</w:t>
      </w:r>
      <w:r w:rsidR="00CA5241">
        <w:rPr>
          <w:b/>
        </w:rPr>
        <w:t>a</w:t>
      </w:r>
      <w:r w:rsidR="00B15D99">
        <w:rPr>
          <w:b/>
        </w:rPr>
        <w:t>)</w:t>
      </w:r>
      <w:r>
        <w:rPr>
          <w:b/>
        </w:rPr>
        <w:t>.</w:t>
      </w:r>
      <w:r w:rsidR="00CA5241">
        <w:t xml:space="preserve"> </w:t>
      </w:r>
      <w:r>
        <w:t>Risk map for feasibility study and design</w:t>
      </w:r>
    </w:p>
    <w:p w14:paraId="7BDE8DAD" w14:textId="77777777" w:rsidR="00E8144F" w:rsidRDefault="00E8144F" w:rsidP="00E8144F">
      <w:pPr>
        <w:jc w:val="center"/>
      </w:pPr>
      <w:r w:rsidRPr="00476A28">
        <w:rPr>
          <w:noProof/>
        </w:rPr>
        <w:drawing>
          <wp:inline distT="0" distB="0" distL="0" distR="0" wp14:anchorId="23987ECC" wp14:editId="2C453074">
            <wp:extent cx="2743200" cy="143372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433723"/>
                    </a:xfrm>
                    <a:prstGeom prst="rect">
                      <a:avLst/>
                    </a:prstGeom>
                    <a:noFill/>
                    <a:ln>
                      <a:noFill/>
                    </a:ln>
                  </pic:spPr>
                </pic:pic>
              </a:graphicData>
            </a:graphic>
          </wp:inline>
        </w:drawing>
      </w:r>
    </w:p>
    <w:p w14:paraId="23EE1D23" w14:textId="5CE1D9C4" w:rsidR="00E8144F" w:rsidRDefault="00E8144F" w:rsidP="009679C0">
      <w:pPr>
        <w:pStyle w:val="figurecaption"/>
      </w:pPr>
      <w:r>
        <w:rPr>
          <w:b/>
        </w:rPr>
        <w:t xml:space="preserve">Fig. </w:t>
      </w:r>
      <w:r w:rsidR="00CA5241">
        <w:rPr>
          <w:b/>
        </w:rPr>
        <w:t>3</w:t>
      </w:r>
      <w:r w:rsidR="00B15D99">
        <w:rPr>
          <w:b/>
        </w:rPr>
        <w:t>(</w:t>
      </w:r>
      <w:r w:rsidR="00CA5241">
        <w:rPr>
          <w:b/>
        </w:rPr>
        <w:t>b</w:t>
      </w:r>
      <w:r w:rsidR="00B15D99">
        <w:rPr>
          <w:b/>
        </w:rPr>
        <w:t>)</w:t>
      </w:r>
      <w:r>
        <w:rPr>
          <w:b/>
        </w:rPr>
        <w:t>.</w:t>
      </w:r>
      <w:r>
        <w:t xml:space="preserve"> Risk map for procurement and tendering</w:t>
      </w:r>
    </w:p>
    <w:p w14:paraId="00E081CA" w14:textId="77777777" w:rsidR="00E8144F" w:rsidRDefault="00E8144F" w:rsidP="00E8144F">
      <w:pPr>
        <w:jc w:val="center"/>
      </w:pPr>
      <w:r w:rsidRPr="00476A28">
        <w:rPr>
          <w:noProof/>
        </w:rPr>
        <w:drawing>
          <wp:inline distT="0" distB="0" distL="0" distR="0" wp14:anchorId="75608B88" wp14:editId="13D5E5DB">
            <wp:extent cx="2743200" cy="143501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1435019"/>
                    </a:xfrm>
                    <a:prstGeom prst="rect">
                      <a:avLst/>
                    </a:prstGeom>
                    <a:noFill/>
                    <a:ln>
                      <a:noFill/>
                    </a:ln>
                  </pic:spPr>
                </pic:pic>
              </a:graphicData>
            </a:graphic>
          </wp:inline>
        </w:drawing>
      </w:r>
    </w:p>
    <w:p w14:paraId="3FDFCD18" w14:textId="4EFEF232" w:rsidR="00E8144F" w:rsidRPr="00FC6D72" w:rsidRDefault="00E8144F" w:rsidP="00FC6D72">
      <w:pPr>
        <w:pStyle w:val="figurecaption"/>
      </w:pPr>
      <w:r>
        <w:rPr>
          <w:b/>
        </w:rPr>
        <w:t xml:space="preserve">Fig. </w:t>
      </w:r>
      <w:r w:rsidR="00CA5241">
        <w:rPr>
          <w:b/>
        </w:rPr>
        <w:t>3</w:t>
      </w:r>
      <w:r w:rsidR="00B15D99">
        <w:rPr>
          <w:b/>
        </w:rPr>
        <w:t>(</w:t>
      </w:r>
      <w:r w:rsidR="00CA5241">
        <w:rPr>
          <w:b/>
        </w:rPr>
        <w:t>c</w:t>
      </w:r>
      <w:r w:rsidR="00B15D99">
        <w:rPr>
          <w:b/>
        </w:rPr>
        <w:t>)</w:t>
      </w:r>
      <w:r>
        <w:rPr>
          <w:b/>
        </w:rPr>
        <w:t>.</w:t>
      </w:r>
      <w:r>
        <w:t xml:space="preserve"> Risk map for project planning and scheduling</w:t>
      </w:r>
    </w:p>
    <w:p w14:paraId="07CBD9BB" w14:textId="07821C9E" w:rsidR="00E8144F" w:rsidRPr="00FC6D72" w:rsidRDefault="00E8144F" w:rsidP="00FC6D72">
      <w:pPr>
        <w:pStyle w:val="p1a"/>
      </w:pPr>
      <w:r w:rsidRPr="00FC6D72">
        <w:lastRenderedPageBreak/>
        <w:t>The construction phases encompass various sectors, each posing similar</w:t>
      </w:r>
      <w:r w:rsidR="00982594">
        <w:t xml:space="preserve"> </w:t>
      </w:r>
      <w:r w:rsidR="004944C5">
        <w:t xml:space="preserve">equivalent </w:t>
      </w:r>
      <w:r w:rsidR="004944C5" w:rsidRPr="00FC6D72">
        <w:t>risks</w:t>
      </w:r>
      <w:r w:rsidRPr="00FC6D72">
        <w:t xml:space="preserve"> due to the sequential nature of constructing structural elements. Level 1 global risks are identified by considering all associated Level 2 risks</w:t>
      </w:r>
      <w:r w:rsidR="00B15D99">
        <w:t xml:space="preserve"> as shown in </w:t>
      </w:r>
      <w:r w:rsidR="00B15D99">
        <w:fldChar w:fldCharType="begin"/>
      </w:r>
      <w:r w:rsidR="00B15D99">
        <w:instrText xml:space="preserve"> REF _Ref174487282 \h </w:instrText>
      </w:r>
      <w:r w:rsidR="00B15D99">
        <w:fldChar w:fldCharType="separate"/>
      </w:r>
      <w:r w:rsidR="00B15D99">
        <w:rPr>
          <w:b/>
        </w:rPr>
        <w:t xml:space="preserve">Fig. </w:t>
      </w:r>
      <w:r w:rsidR="00B15D99">
        <w:rPr>
          <w:b/>
          <w:noProof/>
        </w:rPr>
        <w:t>4</w:t>
      </w:r>
      <w:r w:rsidR="00B15D99">
        <w:fldChar w:fldCharType="end"/>
      </w:r>
      <w:r w:rsidRPr="00FC6D72">
        <w:t>. For instance, financial risks include budget overruns, project delays leading to financial losses, changes in market value, and currency fluctuations. Similarly, operational risks encompass health and safety hazards, reinforcement alignment issues, quality control concerns, and labor disputes.</w:t>
      </w:r>
    </w:p>
    <w:p w14:paraId="326C88DE" w14:textId="77777777" w:rsidR="00E8144F" w:rsidRDefault="00E8144F" w:rsidP="00E8144F">
      <w:pPr>
        <w:jc w:val="left"/>
      </w:pPr>
    </w:p>
    <w:p w14:paraId="08CB6D64" w14:textId="77777777" w:rsidR="00E8144F" w:rsidRDefault="00E8144F" w:rsidP="00E8144F">
      <w:pPr>
        <w:jc w:val="center"/>
      </w:pPr>
      <w:r w:rsidRPr="00476A28">
        <w:rPr>
          <w:noProof/>
        </w:rPr>
        <w:drawing>
          <wp:inline distT="0" distB="0" distL="0" distR="0" wp14:anchorId="0FDFC95E" wp14:editId="173CE794">
            <wp:extent cx="2743200" cy="1428462"/>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428462"/>
                    </a:xfrm>
                    <a:prstGeom prst="rect">
                      <a:avLst/>
                    </a:prstGeom>
                    <a:noFill/>
                    <a:ln>
                      <a:noFill/>
                    </a:ln>
                  </pic:spPr>
                </pic:pic>
              </a:graphicData>
            </a:graphic>
          </wp:inline>
        </w:drawing>
      </w:r>
    </w:p>
    <w:p w14:paraId="7F304667" w14:textId="04665EC0" w:rsidR="00E8144F" w:rsidRDefault="00B15D99" w:rsidP="00B15D99">
      <w:pPr>
        <w:pStyle w:val="figurecaption"/>
      </w:pPr>
      <w:bookmarkStart w:id="3" w:name="_Ref174487282"/>
      <w:r>
        <w:rPr>
          <w:b/>
        </w:rPr>
        <w:t xml:space="preserve">Fig. </w:t>
      </w:r>
      <w:r>
        <w:rPr>
          <w:b/>
        </w:rPr>
        <w:fldChar w:fldCharType="begin"/>
      </w:r>
      <w:r>
        <w:rPr>
          <w:b/>
        </w:rPr>
        <w:instrText xml:space="preserve"> SEQ "Figure" \* MERGEFORMAT </w:instrText>
      </w:r>
      <w:r>
        <w:rPr>
          <w:b/>
        </w:rPr>
        <w:fldChar w:fldCharType="separate"/>
      </w:r>
      <w:r w:rsidR="007D523A">
        <w:rPr>
          <w:b/>
          <w:noProof/>
        </w:rPr>
        <w:t>4</w:t>
      </w:r>
      <w:r>
        <w:rPr>
          <w:b/>
        </w:rPr>
        <w:fldChar w:fldCharType="end"/>
      </w:r>
      <w:bookmarkEnd w:id="3"/>
      <w:r>
        <w:rPr>
          <w:b/>
        </w:rPr>
        <w:t>.</w:t>
      </w:r>
      <w:r>
        <w:t xml:space="preserve"> </w:t>
      </w:r>
      <w:r w:rsidR="00E8144F" w:rsidRPr="00B15D99">
        <w:t>Risk</w:t>
      </w:r>
      <w:r w:rsidR="00E8144F">
        <w:t xml:space="preserve"> map for </w:t>
      </w:r>
      <w:r w:rsidR="007D523A">
        <w:t xml:space="preserve">the </w:t>
      </w:r>
      <w:r w:rsidR="00E8144F">
        <w:t xml:space="preserve">construction phase </w:t>
      </w:r>
    </w:p>
    <w:p w14:paraId="7A09DCA5" w14:textId="77777777" w:rsidR="00E8144F" w:rsidRPr="00FC6D72" w:rsidRDefault="00E8144F" w:rsidP="00FC6D72">
      <w:pPr>
        <w:pStyle w:val="p1a"/>
      </w:pPr>
      <w:r w:rsidRPr="00FC6D72">
        <w:t>The post-construction phase of any project includes the maintenance and monitoring of the structure’s serviceability. Maintenance is primarily conducted through visual inspections using forensic methods. Based on the identified requirements and observed distress, further actions, such as non-destructive testing, numerical analysis, and repair and retrofitting, are undertaken.</w:t>
      </w:r>
    </w:p>
    <w:p w14:paraId="67629043" w14:textId="77777777" w:rsidR="00FC6D72" w:rsidRPr="005C722A" w:rsidRDefault="00FC6D72" w:rsidP="00E8144F"/>
    <w:p w14:paraId="4B4550F3" w14:textId="77777777" w:rsidR="00E8144F" w:rsidRDefault="00E8144F" w:rsidP="00E8144F">
      <w:pPr>
        <w:jc w:val="center"/>
      </w:pPr>
      <w:r w:rsidRPr="00476A28">
        <w:rPr>
          <w:noProof/>
        </w:rPr>
        <w:drawing>
          <wp:inline distT="0" distB="0" distL="0" distR="0" wp14:anchorId="168CD6BC" wp14:editId="3416A617">
            <wp:extent cx="2743200" cy="143372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43200" cy="1433723"/>
                    </a:xfrm>
                    <a:prstGeom prst="rect">
                      <a:avLst/>
                    </a:prstGeom>
                    <a:noFill/>
                    <a:ln>
                      <a:noFill/>
                    </a:ln>
                  </pic:spPr>
                </pic:pic>
              </a:graphicData>
            </a:graphic>
          </wp:inline>
        </w:drawing>
      </w:r>
    </w:p>
    <w:p w14:paraId="3D3F68B9" w14:textId="127388FE" w:rsidR="00E8144F" w:rsidRDefault="00B15D99" w:rsidP="00B15D99">
      <w:pPr>
        <w:pStyle w:val="figurecaption"/>
      </w:pPr>
      <w:bookmarkStart w:id="4" w:name="_Ref174487311"/>
      <w:r>
        <w:rPr>
          <w:b/>
        </w:rPr>
        <w:t xml:space="preserve">Fig. </w:t>
      </w:r>
      <w:r>
        <w:rPr>
          <w:b/>
        </w:rPr>
        <w:fldChar w:fldCharType="begin"/>
      </w:r>
      <w:r>
        <w:rPr>
          <w:b/>
        </w:rPr>
        <w:instrText xml:space="preserve"> SEQ "Figure" \* MERGEFORMAT </w:instrText>
      </w:r>
      <w:r>
        <w:rPr>
          <w:b/>
        </w:rPr>
        <w:fldChar w:fldCharType="separate"/>
      </w:r>
      <w:r w:rsidR="007D523A">
        <w:rPr>
          <w:b/>
          <w:noProof/>
        </w:rPr>
        <w:t>5</w:t>
      </w:r>
      <w:r>
        <w:rPr>
          <w:b/>
        </w:rPr>
        <w:fldChar w:fldCharType="end"/>
      </w:r>
      <w:bookmarkEnd w:id="4"/>
      <w:r>
        <w:rPr>
          <w:b/>
        </w:rPr>
        <w:t>(</w:t>
      </w:r>
      <w:r w:rsidR="00CA5241">
        <w:rPr>
          <w:b/>
        </w:rPr>
        <w:t>a</w:t>
      </w:r>
      <w:r>
        <w:rPr>
          <w:b/>
        </w:rPr>
        <w:t>)</w:t>
      </w:r>
      <w:r w:rsidR="00E8144F">
        <w:rPr>
          <w:b/>
        </w:rPr>
        <w:t>.</w:t>
      </w:r>
      <w:r w:rsidR="00E8144F">
        <w:t xml:space="preserve"> Risk map for visual inspection</w:t>
      </w:r>
    </w:p>
    <w:p w14:paraId="44A15101" w14:textId="77777777" w:rsidR="00E8144F" w:rsidRDefault="00E8144F" w:rsidP="00E8144F">
      <w:pPr>
        <w:jc w:val="center"/>
      </w:pPr>
      <w:r w:rsidRPr="00476A28">
        <w:rPr>
          <w:noProof/>
        </w:rPr>
        <w:lastRenderedPageBreak/>
        <w:drawing>
          <wp:inline distT="0" distB="0" distL="0" distR="0" wp14:anchorId="63EE983F" wp14:editId="53538533">
            <wp:extent cx="2743200" cy="1428462"/>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1428462"/>
                    </a:xfrm>
                    <a:prstGeom prst="rect">
                      <a:avLst/>
                    </a:prstGeom>
                    <a:noFill/>
                    <a:ln>
                      <a:noFill/>
                    </a:ln>
                  </pic:spPr>
                </pic:pic>
              </a:graphicData>
            </a:graphic>
          </wp:inline>
        </w:drawing>
      </w:r>
    </w:p>
    <w:p w14:paraId="7BAD7E5C" w14:textId="30EB40D8" w:rsidR="00E8144F" w:rsidRDefault="00E8144F" w:rsidP="00E8144F">
      <w:pPr>
        <w:pStyle w:val="figurecaption"/>
      </w:pPr>
      <w:r>
        <w:rPr>
          <w:b/>
        </w:rPr>
        <w:t xml:space="preserve">Fig. </w:t>
      </w:r>
      <w:r w:rsidR="00CA5241">
        <w:rPr>
          <w:b/>
        </w:rPr>
        <w:t>5</w:t>
      </w:r>
      <w:r w:rsidR="00B15D99">
        <w:rPr>
          <w:b/>
        </w:rPr>
        <w:t>(</w:t>
      </w:r>
      <w:r w:rsidR="00CA5241">
        <w:rPr>
          <w:b/>
        </w:rPr>
        <w:t>b</w:t>
      </w:r>
      <w:r w:rsidR="00B15D99">
        <w:rPr>
          <w:b/>
        </w:rPr>
        <w:t>)</w:t>
      </w:r>
      <w:r>
        <w:rPr>
          <w:b/>
        </w:rPr>
        <w:t>.</w:t>
      </w:r>
      <w:r>
        <w:t xml:space="preserve"> Risk map for non-destructive evaluation</w:t>
      </w:r>
      <w:r w:rsidR="00926537">
        <w:t xml:space="preserve"> (NDE)</w:t>
      </w:r>
    </w:p>
    <w:p w14:paraId="49D577F2" w14:textId="77777777" w:rsidR="00E8144F" w:rsidRDefault="00E8144F" w:rsidP="00E8144F">
      <w:pPr>
        <w:jc w:val="center"/>
      </w:pPr>
      <w:r w:rsidRPr="00476A28">
        <w:rPr>
          <w:noProof/>
        </w:rPr>
        <w:drawing>
          <wp:inline distT="0" distB="0" distL="0" distR="0" wp14:anchorId="4629C6F9" wp14:editId="4BC3294E">
            <wp:extent cx="2743200" cy="141687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0" cy="1416872"/>
                    </a:xfrm>
                    <a:prstGeom prst="rect">
                      <a:avLst/>
                    </a:prstGeom>
                    <a:noFill/>
                    <a:ln>
                      <a:noFill/>
                    </a:ln>
                  </pic:spPr>
                </pic:pic>
              </a:graphicData>
            </a:graphic>
          </wp:inline>
        </w:drawing>
      </w:r>
    </w:p>
    <w:p w14:paraId="1D6767BE" w14:textId="032AF5A8" w:rsidR="00E8144F" w:rsidRDefault="00E8144F" w:rsidP="00E8144F">
      <w:pPr>
        <w:pStyle w:val="figurecaption"/>
      </w:pPr>
      <w:r>
        <w:rPr>
          <w:b/>
        </w:rPr>
        <w:t xml:space="preserve">Fig. </w:t>
      </w:r>
      <w:r w:rsidR="00F95E5E">
        <w:rPr>
          <w:b/>
        </w:rPr>
        <w:t>5</w:t>
      </w:r>
      <w:r w:rsidR="00B15D99">
        <w:rPr>
          <w:b/>
        </w:rPr>
        <w:t>(</w:t>
      </w:r>
      <w:r w:rsidR="00F95E5E">
        <w:rPr>
          <w:b/>
        </w:rPr>
        <w:t>c</w:t>
      </w:r>
      <w:r w:rsidR="00B15D99">
        <w:rPr>
          <w:b/>
        </w:rPr>
        <w:t>)</w:t>
      </w:r>
      <w:r>
        <w:rPr>
          <w:b/>
        </w:rPr>
        <w:t>.</w:t>
      </w:r>
      <w:r>
        <w:t xml:space="preserve"> Risk map for numerical analysis twining with NDE results</w:t>
      </w:r>
    </w:p>
    <w:p w14:paraId="23039BEC" w14:textId="77777777" w:rsidR="00E8144F" w:rsidRDefault="00E8144F" w:rsidP="00E8144F">
      <w:pPr>
        <w:jc w:val="center"/>
      </w:pPr>
      <w:r w:rsidRPr="00476A28">
        <w:rPr>
          <w:noProof/>
        </w:rPr>
        <w:drawing>
          <wp:inline distT="0" distB="0" distL="0" distR="0" wp14:anchorId="19146FED" wp14:editId="4016A1BA">
            <wp:extent cx="2743200" cy="1346547"/>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43200" cy="1346547"/>
                    </a:xfrm>
                    <a:prstGeom prst="rect">
                      <a:avLst/>
                    </a:prstGeom>
                    <a:noFill/>
                    <a:ln>
                      <a:noFill/>
                    </a:ln>
                  </pic:spPr>
                </pic:pic>
              </a:graphicData>
            </a:graphic>
          </wp:inline>
        </w:drawing>
      </w:r>
    </w:p>
    <w:p w14:paraId="5C81738A" w14:textId="342AB3F6" w:rsidR="00E8144F" w:rsidRDefault="00E8144F" w:rsidP="00CA5241">
      <w:pPr>
        <w:pStyle w:val="figurecaption"/>
      </w:pPr>
      <w:r>
        <w:rPr>
          <w:b/>
        </w:rPr>
        <w:t xml:space="preserve">Fig. </w:t>
      </w:r>
      <w:r w:rsidR="00F95E5E">
        <w:rPr>
          <w:b/>
        </w:rPr>
        <w:t>5</w:t>
      </w:r>
      <w:r w:rsidR="00B15D99">
        <w:rPr>
          <w:b/>
        </w:rPr>
        <w:t>(</w:t>
      </w:r>
      <w:r w:rsidR="00F95E5E">
        <w:rPr>
          <w:b/>
        </w:rPr>
        <w:t>d</w:t>
      </w:r>
      <w:r w:rsidR="00B15D99">
        <w:rPr>
          <w:b/>
        </w:rPr>
        <w:t>)</w:t>
      </w:r>
      <w:r>
        <w:rPr>
          <w:b/>
        </w:rPr>
        <w:t>.</w:t>
      </w:r>
      <w:r>
        <w:t xml:space="preserve"> Risk map for repair recommendations</w:t>
      </w:r>
    </w:p>
    <w:p w14:paraId="3C8EC29A" w14:textId="77777777" w:rsidR="00E8144F" w:rsidRPr="00387CC5" w:rsidRDefault="00E8144F" w:rsidP="00CA5241">
      <w:pPr>
        <w:ind w:firstLine="0"/>
      </w:pPr>
      <w:r w:rsidRPr="00FC6D72">
        <w:t>This method simplifies the assessment and provides quick qualitative insights into the risks affecting the project. However, it lacks the capability to quantify the risks, meaning that it cannot provide concrete evidence on whether risks can be tolerable.</w:t>
      </w:r>
    </w:p>
    <w:p w14:paraId="4BCC5C18" w14:textId="48A13B2A" w:rsidR="00E8144F" w:rsidRDefault="00E8144F" w:rsidP="00FC6D72">
      <w:pPr>
        <w:pStyle w:val="heading2"/>
      </w:pPr>
      <w:r>
        <w:t xml:space="preserve">AHP </w:t>
      </w:r>
    </w:p>
    <w:p w14:paraId="79F5EFDD" w14:textId="5E27A38D" w:rsidR="00E8144F" w:rsidRPr="00FC6D72" w:rsidRDefault="00E8144F" w:rsidP="00FC6D72">
      <w:pPr>
        <w:ind w:firstLine="0"/>
      </w:pPr>
      <w:r w:rsidRPr="00FC6D72">
        <w:t xml:space="preserve">Sector-wise risks identified for all three construction phases in the risk matrix assessment were carried forward for evaluation using the AHP. This approach addresses the quantification gap in the risk matrix method by providing judgmental criteria for </w:t>
      </w:r>
      <w:r w:rsidRPr="00FC6D72">
        <w:lastRenderedPageBreak/>
        <w:t xml:space="preserve">tolerable risks through consistency analysis. The AHP quantifies risks by performing a relative pairwise comparison of each risk against other risks using </w:t>
      </w:r>
      <w:proofErr w:type="spellStart"/>
      <w:r w:rsidRPr="00FC6D72">
        <w:t>Saaty’s</w:t>
      </w:r>
      <w:proofErr w:type="spellEnd"/>
      <w:r w:rsidRPr="00FC6D72">
        <w:t xml:space="preserve"> scale [14].</w:t>
      </w:r>
    </w:p>
    <w:p w14:paraId="6AFFE7BF" w14:textId="7FCF82E2" w:rsidR="00E8144F" w:rsidRPr="005A38C6" w:rsidRDefault="00E8144F" w:rsidP="00FC6D72">
      <w:r w:rsidRPr="005A38C6">
        <w:t xml:space="preserve">The pairwise comparison matrix, which showcases the relative comparisons among risks, and the normalized pairwise comparison matrix are shown in </w:t>
      </w:r>
      <w:r w:rsidR="00B15D99">
        <w:fldChar w:fldCharType="begin"/>
      </w:r>
      <w:r w:rsidR="00B15D99">
        <w:instrText xml:space="preserve"> REF _Ref174486989 \h </w:instrText>
      </w:r>
      <w:r w:rsidR="00B15D99">
        <w:fldChar w:fldCharType="separate"/>
      </w:r>
      <w:r w:rsidR="00B15D99">
        <w:rPr>
          <w:b/>
        </w:rPr>
        <w:t xml:space="preserve">Table </w:t>
      </w:r>
      <w:r w:rsidR="00B15D99">
        <w:rPr>
          <w:b/>
          <w:noProof/>
        </w:rPr>
        <w:t>1</w:t>
      </w:r>
      <w:r w:rsidR="00B15D99">
        <w:fldChar w:fldCharType="end"/>
      </w:r>
      <w:r w:rsidR="00B15D99">
        <w:t xml:space="preserve"> </w:t>
      </w:r>
      <w:r w:rsidRPr="005A38C6">
        <w:t xml:space="preserve">and </w:t>
      </w:r>
      <w:r w:rsidR="00B15D99">
        <w:fldChar w:fldCharType="begin"/>
      </w:r>
      <w:r w:rsidR="00B15D99">
        <w:instrText xml:space="preserve"> REF _Ref174487016 \h </w:instrText>
      </w:r>
      <w:r w:rsidR="00B15D99">
        <w:fldChar w:fldCharType="separate"/>
      </w:r>
      <w:r w:rsidR="00B15D99">
        <w:rPr>
          <w:b/>
        </w:rPr>
        <w:t xml:space="preserve">Table </w:t>
      </w:r>
      <w:r w:rsidR="00B15D99">
        <w:rPr>
          <w:b/>
          <w:noProof/>
        </w:rPr>
        <w:t>2</w:t>
      </w:r>
      <w:r w:rsidR="00B15D99">
        <w:fldChar w:fldCharType="end"/>
      </w:r>
      <w:r w:rsidRPr="005A38C6">
        <w:t xml:space="preserve">, respectively, for the feasibility study and design sector </w:t>
      </w:r>
      <w:r>
        <w:t>during</w:t>
      </w:r>
      <w:r w:rsidRPr="005A38C6">
        <w:t xml:space="preserve"> the planning phase.</w:t>
      </w:r>
    </w:p>
    <w:p w14:paraId="766A6AF7" w14:textId="4A442CDB" w:rsidR="00E8144F" w:rsidRDefault="004944C5" w:rsidP="004944C5">
      <w:pPr>
        <w:pStyle w:val="tablecaption"/>
      </w:pPr>
      <w:bookmarkStart w:id="5" w:name="_Ref174486989"/>
      <w:r>
        <w:rPr>
          <w:b/>
        </w:rPr>
        <w:t xml:space="preserve">Table </w:t>
      </w:r>
      <w:r>
        <w:rPr>
          <w:b/>
        </w:rPr>
        <w:fldChar w:fldCharType="begin"/>
      </w:r>
      <w:r>
        <w:rPr>
          <w:b/>
        </w:rPr>
        <w:instrText xml:space="preserve"> SEQ "Table" \* MERGEFORMAT </w:instrText>
      </w:r>
      <w:r>
        <w:rPr>
          <w:b/>
        </w:rPr>
        <w:fldChar w:fldCharType="separate"/>
      </w:r>
      <w:r w:rsidR="007D523A">
        <w:rPr>
          <w:b/>
          <w:noProof/>
        </w:rPr>
        <w:t>1</w:t>
      </w:r>
      <w:r>
        <w:rPr>
          <w:b/>
        </w:rPr>
        <w:fldChar w:fldCharType="end"/>
      </w:r>
      <w:bookmarkEnd w:id="5"/>
      <w:r>
        <w:rPr>
          <w:b/>
        </w:rPr>
        <w:t>.</w:t>
      </w:r>
      <w:r>
        <w:t xml:space="preserve"> </w:t>
      </w:r>
      <w:r w:rsidR="007D523A">
        <w:t>Pair-wise</w:t>
      </w:r>
      <w:r w:rsidR="00E8144F" w:rsidRPr="00F34A41">
        <w:t xml:space="preserve"> comparison matrix </w:t>
      </w:r>
      <w:r w:rsidR="00E8144F">
        <w:t xml:space="preserve">for feasibility study and design sector </w:t>
      </w:r>
    </w:p>
    <w:tbl>
      <w:tblPr>
        <w:tblW w:w="5000" w:type="pct"/>
        <w:tblCellMar>
          <w:left w:w="0" w:type="dxa"/>
          <w:right w:w="0" w:type="dxa"/>
        </w:tblCellMar>
        <w:tblLook w:val="0600" w:firstRow="0" w:lastRow="0" w:firstColumn="0" w:lastColumn="0" w:noHBand="1" w:noVBand="1"/>
      </w:tblPr>
      <w:tblGrid>
        <w:gridCol w:w="1298"/>
        <w:gridCol w:w="848"/>
        <w:gridCol w:w="1150"/>
        <w:gridCol w:w="1052"/>
        <w:gridCol w:w="764"/>
        <w:gridCol w:w="903"/>
        <w:gridCol w:w="903"/>
      </w:tblGrid>
      <w:tr w:rsidR="00E8144F" w:rsidRPr="00CA5241" w14:paraId="1728A095" w14:textId="77777777" w:rsidTr="00CA5241">
        <w:trPr>
          <w:trHeight w:val="144"/>
        </w:trPr>
        <w:tc>
          <w:tcPr>
            <w:tcW w:w="938" w:type="pct"/>
            <w:tcBorders>
              <w:top w:val="single" w:sz="12" w:space="0" w:color="000000"/>
              <w:left w:val="nil"/>
              <w:bottom w:val="single" w:sz="8" w:space="0" w:color="auto"/>
              <w:right w:val="nil"/>
            </w:tcBorders>
            <w:shd w:val="clear" w:color="auto" w:fill="auto"/>
            <w:tcMar>
              <w:top w:w="12" w:type="dxa"/>
              <w:left w:w="12" w:type="dxa"/>
              <w:bottom w:w="0" w:type="dxa"/>
              <w:right w:w="12" w:type="dxa"/>
            </w:tcMar>
            <w:vAlign w:val="center"/>
            <w:hideMark/>
          </w:tcPr>
          <w:p w14:paraId="6B968B2D"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Risks</w:t>
            </w:r>
          </w:p>
        </w:tc>
        <w:tc>
          <w:tcPr>
            <w:tcW w:w="613" w:type="pct"/>
            <w:tcBorders>
              <w:top w:val="single" w:sz="12" w:space="0" w:color="000000"/>
              <w:left w:val="nil"/>
              <w:bottom w:val="single" w:sz="8" w:space="0" w:color="auto"/>
              <w:right w:val="nil"/>
            </w:tcBorders>
            <w:shd w:val="clear" w:color="auto" w:fill="auto"/>
            <w:tcMar>
              <w:top w:w="12" w:type="dxa"/>
              <w:left w:w="12" w:type="dxa"/>
              <w:bottom w:w="0" w:type="dxa"/>
              <w:right w:w="12" w:type="dxa"/>
            </w:tcMar>
            <w:vAlign w:val="center"/>
            <w:hideMark/>
          </w:tcPr>
          <w:p w14:paraId="09662A86" w14:textId="77777777" w:rsidR="00E8144F" w:rsidRPr="00CA5241" w:rsidRDefault="00E8144F" w:rsidP="00CA5241">
            <w:pPr>
              <w:spacing w:line="240" w:lineRule="auto"/>
              <w:ind w:firstLine="0"/>
              <w:jc w:val="center"/>
              <w:rPr>
                <w:sz w:val="18"/>
                <w:szCs w:val="18"/>
                <w:lang w:val="en-IN"/>
              </w:rPr>
            </w:pPr>
            <w:r w:rsidRPr="00CA5241">
              <w:rPr>
                <w:bCs/>
                <w:sz w:val="18"/>
                <w:szCs w:val="18"/>
                <w:lang w:val="en-IN"/>
              </w:rPr>
              <w:t>Risk 1</w:t>
            </w:r>
          </w:p>
        </w:tc>
        <w:tc>
          <w:tcPr>
            <w:tcW w:w="831" w:type="pct"/>
            <w:tcBorders>
              <w:top w:val="single" w:sz="12" w:space="0" w:color="000000"/>
              <w:left w:val="nil"/>
              <w:bottom w:val="single" w:sz="8" w:space="0" w:color="auto"/>
              <w:right w:val="nil"/>
            </w:tcBorders>
            <w:shd w:val="clear" w:color="auto" w:fill="auto"/>
            <w:tcMar>
              <w:top w:w="12" w:type="dxa"/>
              <w:left w:w="12" w:type="dxa"/>
              <w:bottom w:w="0" w:type="dxa"/>
              <w:right w:w="12" w:type="dxa"/>
            </w:tcMar>
            <w:vAlign w:val="center"/>
            <w:hideMark/>
          </w:tcPr>
          <w:p w14:paraId="2F79FCD2" w14:textId="77777777" w:rsidR="00E8144F" w:rsidRPr="00CA5241" w:rsidRDefault="00E8144F" w:rsidP="00CA5241">
            <w:pPr>
              <w:spacing w:line="240" w:lineRule="auto"/>
              <w:ind w:firstLine="0"/>
              <w:jc w:val="center"/>
              <w:rPr>
                <w:sz w:val="18"/>
                <w:szCs w:val="18"/>
                <w:lang w:val="en-IN"/>
              </w:rPr>
            </w:pPr>
            <w:r w:rsidRPr="00CA5241">
              <w:rPr>
                <w:bCs/>
                <w:sz w:val="18"/>
                <w:szCs w:val="18"/>
                <w:lang w:val="en-IN"/>
              </w:rPr>
              <w:t>Risk 2</w:t>
            </w:r>
          </w:p>
        </w:tc>
        <w:tc>
          <w:tcPr>
            <w:tcW w:w="760" w:type="pct"/>
            <w:tcBorders>
              <w:top w:val="single" w:sz="12" w:space="0" w:color="000000"/>
              <w:left w:val="nil"/>
              <w:bottom w:val="single" w:sz="8" w:space="0" w:color="auto"/>
              <w:right w:val="nil"/>
            </w:tcBorders>
            <w:shd w:val="clear" w:color="auto" w:fill="auto"/>
            <w:tcMar>
              <w:top w:w="12" w:type="dxa"/>
              <w:left w:w="12" w:type="dxa"/>
              <w:bottom w:w="0" w:type="dxa"/>
              <w:right w:w="12" w:type="dxa"/>
            </w:tcMar>
            <w:vAlign w:val="center"/>
            <w:hideMark/>
          </w:tcPr>
          <w:p w14:paraId="75E4C938" w14:textId="77777777" w:rsidR="00E8144F" w:rsidRPr="00CA5241" w:rsidRDefault="00E8144F" w:rsidP="00CA5241">
            <w:pPr>
              <w:spacing w:line="240" w:lineRule="auto"/>
              <w:ind w:firstLine="0"/>
              <w:jc w:val="center"/>
              <w:rPr>
                <w:sz w:val="18"/>
                <w:szCs w:val="18"/>
                <w:lang w:val="en-IN"/>
              </w:rPr>
            </w:pPr>
            <w:r w:rsidRPr="00CA5241">
              <w:rPr>
                <w:bCs/>
                <w:sz w:val="18"/>
                <w:szCs w:val="18"/>
                <w:lang w:val="en-IN"/>
              </w:rPr>
              <w:t>Risk 3</w:t>
            </w:r>
          </w:p>
        </w:tc>
        <w:tc>
          <w:tcPr>
            <w:tcW w:w="552" w:type="pct"/>
            <w:tcBorders>
              <w:top w:val="single" w:sz="12" w:space="0" w:color="000000"/>
              <w:left w:val="nil"/>
              <w:bottom w:val="single" w:sz="8" w:space="0" w:color="auto"/>
              <w:right w:val="nil"/>
            </w:tcBorders>
            <w:shd w:val="clear" w:color="auto" w:fill="auto"/>
            <w:tcMar>
              <w:top w:w="12" w:type="dxa"/>
              <w:left w:w="12" w:type="dxa"/>
              <w:bottom w:w="0" w:type="dxa"/>
              <w:right w:w="12" w:type="dxa"/>
            </w:tcMar>
            <w:vAlign w:val="center"/>
            <w:hideMark/>
          </w:tcPr>
          <w:p w14:paraId="65086DBD" w14:textId="77777777" w:rsidR="00E8144F" w:rsidRPr="00CA5241" w:rsidRDefault="00E8144F" w:rsidP="00CA5241">
            <w:pPr>
              <w:spacing w:line="240" w:lineRule="auto"/>
              <w:ind w:firstLine="0"/>
              <w:jc w:val="center"/>
              <w:rPr>
                <w:sz w:val="18"/>
                <w:szCs w:val="18"/>
                <w:lang w:val="en-IN"/>
              </w:rPr>
            </w:pPr>
            <w:r w:rsidRPr="00CA5241">
              <w:rPr>
                <w:bCs/>
                <w:sz w:val="18"/>
                <w:szCs w:val="18"/>
                <w:lang w:val="en-IN"/>
              </w:rPr>
              <w:t>Risk 4</w:t>
            </w:r>
          </w:p>
        </w:tc>
        <w:tc>
          <w:tcPr>
            <w:tcW w:w="653" w:type="pct"/>
            <w:tcBorders>
              <w:top w:val="single" w:sz="12" w:space="0" w:color="000000"/>
              <w:left w:val="nil"/>
              <w:bottom w:val="single" w:sz="8" w:space="0" w:color="auto"/>
              <w:right w:val="nil"/>
            </w:tcBorders>
            <w:shd w:val="clear" w:color="auto" w:fill="auto"/>
            <w:tcMar>
              <w:top w:w="12" w:type="dxa"/>
              <w:left w:w="12" w:type="dxa"/>
              <w:bottom w:w="0" w:type="dxa"/>
              <w:right w:w="12" w:type="dxa"/>
            </w:tcMar>
            <w:vAlign w:val="center"/>
            <w:hideMark/>
          </w:tcPr>
          <w:p w14:paraId="0F66EA5E" w14:textId="77777777" w:rsidR="00E8144F" w:rsidRPr="00CA5241" w:rsidRDefault="00E8144F" w:rsidP="00CA5241">
            <w:pPr>
              <w:spacing w:line="240" w:lineRule="auto"/>
              <w:ind w:firstLine="0"/>
              <w:jc w:val="center"/>
              <w:rPr>
                <w:sz w:val="18"/>
                <w:szCs w:val="18"/>
                <w:lang w:val="en-IN"/>
              </w:rPr>
            </w:pPr>
            <w:r w:rsidRPr="00CA5241">
              <w:rPr>
                <w:bCs/>
                <w:sz w:val="18"/>
                <w:szCs w:val="18"/>
                <w:lang w:val="en-IN"/>
              </w:rPr>
              <w:t>Risk 5</w:t>
            </w:r>
          </w:p>
        </w:tc>
        <w:tc>
          <w:tcPr>
            <w:tcW w:w="653" w:type="pct"/>
            <w:tcBorders>
              <w:top w:val="single" w:sz="12" w:space="0" w:color="000000"/>
              <w:left w:val="nil"/>
              <w:bottom w:val="single" w:sz="8" w:space="0" w:color="auto"/>
              <w:right w:val="nil"/>
            </w:tcBorders>
            <w:shd w:val="clear" w:color="auto" w:fill="auto"/>
            <w:tcMar>
              <w:top w:w="12" w:type="dxa"/>
              <w:left w:w="12" w:type="dxa"/>
              <w:bottom w:w="0" w:type="dxa"/>
              <w:right w:w="12" w:type="dxa"/>
            </w:tcMar>
            <w:vAlign w:val="center"/>
            <w:hideMark/>
          </w:tcPr>
          <w:p w14:paraId="7A39D18A" w14:textId="77777777" w:rsidR="00E8144F" w:rsidRPr="00CA5241" w:rsidRDefault="00E8144F" w:rsidP="00CA5241">
            <w:pPr>
              <w:spacing w:line="240" w:lineRule="auto"/>
              <w:ind w:firstLine="0"/>
              <w:jc w:val="center"/>
              <w:rPr>
                <w:sz w:val="18"/>
                <w:szCs w:val="18"/>
                <w:lang w:val="en-IN"/>
              </w:rPr>
            </w:pPr>
            <w:r w:rsidRPr="00CA5241">
              <w:rPr>
                <w:bCs/>
                <w:sz w:val="18"/>
                <w:szCs w:val="18"/>
                <w:lang w:val="en-IN"/>
              </w:rPr>
              <w:t>Risk 6</w:t>
            </w:r>
          </w:p>
        </w:tc>
      </w:tr>
      <w:tr w:rsidR="00E8144F" w:rsidRPr="00CA5241" w14:paraId="21018849" w14:textId="77777777" w:rsidTr="00CA5241">
        <w:trPr>
          <w:trHeight w:val="144"/>
        </w:trPr>
        <w:tc>
          <w:tcPr>
            <w:tcW w:w="938" w:type="pct"/>
            <w:tcBorders>
              <w:top w:val="single" w:sz="8" w:space="0" w:color="auto"/>
              <w:left w:val="nil"/>
              <w:bottom w:val="nil"/>
              <w:right w:val="nil"/>
            </w:tcBorders>
            <w:shd w:val="clear" w:color="auto" w:fill="auto"/>
            <w:tcMar>
              <w:top w:w="12" w:type="dxa"/>
              <w:left w:w="12" w:type="dxa"/>
              <w:bottom w:w="0" w:type="dxa"/>
              <w:right w:w="12" w:type="dxa"/>
            </w:tcMar>
            <w:vAlign w:val="center"/>
            <w:hideMark/>
          </w:tcPr>
          <w:p w14:paraId="0CA53AF1" w14:textId="77777777" w:rsidR="00E8144F" w:rsidRPr="00CA5241" w:rsidRDefault="00E8144F" w:rsidP="00CA5241">
            <w:pPr>
              <w:spacing w:line="240" w:lineRule="auto"/>
              <w:ind w:firstLine="0"/>
              <w:jc w:val="center"/>
              <w:rPr>
                <w:sz w:val="18"/>
                <w:szCs w:val="18"/>
                <w:lang w:val="en-IN"/>
              </w:rPr>
            </w:pPr>
            <w:r w:rsidRPr="00CA5241">
              <w:rPr>
                <w:bCs/>
                <w:sz w:val="18"/>
                <w:szCs w:val="18"/>
                <w:lang w:val="en-IN"/>
              </w:rPr>
              <w:t>Risk 1</w:t>
            </w:r>
          </w:p>
        </w:tc>
        <w:tc>
          <w:tcPr>
            <w:tcW w:w="613" w:type="pct"/>
            <w:tcBorders>
              <w:top w:val="single" w:sz="8" w:space="0" w:color="auto"/>
              <w:left w:val="nil"/>
              <w:bottom w:val="nil"/>
              <w:right w:val="nil"/>
            </w:tcBorders>
            <w:shd w:val="clear" w:color="auto" w:fill="E2F0D9"/>
            <w:tcMar>
              <w:top w:w="12" w:type="dxa"/>
              <w:left w:w="12" w:type="dxa"/>
              <w:bottom w:w="0" w:type="dxa"/>
              <w:right w:w="12" w:type="dxa"/>
            </w:tcMar>
            <w:vAlign w:val="center"/>
            <w:hideMark/>
          </w:tcPr>
          <w:p w14:paraId="39D2D59D"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w:t>
            </w:r>
          </w:p>
        </w:tc>
        <w:tc>
          <w:tcPr>
            <w:tcW w:w="831" w:type="pct"/>
            <w:tcBorders>
              <w:top w:val="single" w:sz="8" w:space="0" w:color="auto"/>
              <w:left w:val="nil"/>
              <w:bottom w:val="nil"/>
              <w:right w:val="nil"/>
            </w:tcBorders>
            <w:shd w:val="clear" w:color="auto" w:fill="auto"/>
            <w:tcMar>
              <w:top w:w="12" w:type="dxa"/>
              <w:left w:w="12" w:type="dxa"/>
              <w:bottom w:w="0" w:type="dxa"/>
              <w:right w:w="12" w:type="dxa"/>
            </w:tcMar>
            <w:vAlign w:val="center"/>
            <w:hideMark/>
          </w:tcPr>
          <w:p w14:paraId="6859CC5D"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3</w:t>
            </w:r>
          </w:p>
        </w:tc>
        <w:tc>
          <w:tcPr>
            <w:tcW w:w="760" w:type="pct"/>
            <w:tcBorders>
              <w:top w:val="single" w:sz="8" w:space="0" w:color="auto"/>
              <w:left w:val="nil"/>
              <w:bottom w:val="nil"/>
              <w:right w:val="nil"/>
            </w:tcBorders>
            <w:shd w:val="clear" w:color="auto" w:fill="auto"/>
            <w:tcMar>
              <w:top w:w="12" w:type="dxa"/>
              <w:left w:w="12" w:type="dxa"/>
              <w:bottom w:w="0" w:type="dxa"/>
              <w:right w:w="12" w:type="dxa"/>
            </w:tcMar>
            <w:vAlign w:val="center"/>
            <w:hideMark/>
          </w:tcPr>
          <w:p w14:paraId="5801EDF1"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5</w:t>
            </w:r>
          </w:p>
        </w:tc>
        <w:tc>
          <w:tcPr>
            <w:tcW w:w="552" w:type="pct"/>
            <w:tcBorders>
              <w:top w:val="single" w:sz="8" w:space="0" w:color="auto"/>
              <w:left w:val="nil"/>
              <w:bottom w:val="nil"/>
              <w:right w:val="nil"/>
            </w:tcBorders>
            <w:shd w:val="clear" w:color="auto" w:fill="auto"/>
            <w:tcMar>
              <w:top w:w="12" w:type="dxa"/>
              <w:left w:w="12" w:type="dxa"/>
              <w:bottom w:w="0" w:type="dxa"/>
              <w:right w:w="12" w:type="dxa"/>
            </w:tcMar>
            <w:vAlign w:val="center"/>
            <w:hideMark/>
          </w:tcPr>
          <w:p w14:paraId="5D120E71"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7</w:t>
            </w:r>
          </w:p>
        </w:tc>
        <w:tc>
          <w:tcPr>
            <w:tcW w:w="653" w:type="pct"/>
            <w:tcBorders>
              <w:top w:val="single" w:sz="8" w:space="0" w:color="auto"/>
              <w:left w:val="nil"/>
              <w:bottom w:val="nil"/>
              <w:right w:val="nil"/>
            </w:tcBorders>
            <w:shd w:val="clear" w:color="auto" w:fill="DAE3F3"/>
            <w:tcMar>
              <w:top w:w="12" w:type="dxa"/>
              <w:left w:w="12" w:type="dxa"/>
              <w:bottom w:w="0" w:type="dxa"/>
              <w:right w:w="12" w:type="dxa"/>
            </w:tcMar>
            <w:vAlign w:val="center"/>
            <w:hideMark/>
          </w:tcPr>
          <w:p w14:paraId="18C0E15D"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3</w:t>
            </w:r>
          </w:p>
        </w:tc>
        <w:tc>
          <w:tcPr>
            <w:tcW w:w="653" w:type="pct"/>
            <w:tcBorders>
              <w:top w:val="single" w:sz="8" w:space="0" w:color="auto"/>
              <w:left w:val="nil"/>
              <w:bottom w:val="nil"/>
              <w:right w:val="nil"/>
            </w:tcBorders>
            <w:shd w:val="clear" w:color="auto" w:fill="auto"/>
            <w:tcMar>
              <w:top w:w="12" w:type="dxa"/>
              <w:left w:w="12" w:type="dxa"/>
              <w:bottom w:w="0" w:type="dxa"/>
              <w:right w:w="12" w:type="dxa"/>
            </w:tcMar>
            <w:vAlign w:val="center"/>
            <w:hideMark/>
          </w:tcPr>
          <w:p w14:paraId="3A927E3C"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5</w:t>
            </w:r>
          </w:p>
        </w:tc>
      </w:tr>
      <w:tr w:rsidR="00E8144F" w:rsidRPr="00CA5241" w14:paraId="7EF072EC" w14:textId="77777777" w:rsidTr="00CA5241">
        <w:trPr>
          <w:trHeight w:val="144"/>
        </w:trPr>
        <w:tc>
          <w:tcPr>
            <w:tcW w:w="938" w:type="pct"/>
            <w:tcBorders>
              <w:top w:val="nil"/>
              <w:left w:val="nil"/>
              <w:bottom w:val="nil"/>
              <w:right w:val="nil"/>
            </w:tcBorders>
            <w:shd w:val="clear" w:color="auto" w:fill="auto"/>
            <w:tcMar>
              <w:top w:w="12" w:type="dxa"/>
              <w:left w:w="12" w:type="dxa"/>
              <w:bottom w:w="0" w:type="dxa"/>
              <w:right w:w="12" w:type="dxa"/>
            </w:tcMar>
            <w:vAlign w:val="center"/>
            <w:hideMark/>
          </w:tcPr>
          <w:p w14:paraId="52D60CBE" w14:textId="77777777" w:rsidR="00E8144F" w:rsidRPr="00CA5241" w:rsidRDefault="00E8144F" w:rsidP="00CA5241">
            <w:pPr>
              <w:spacing w:line="240" w:lineRule="auto"/>
              <w:ind w:firstLine="0"/>
              <w:jc w:val="center"/>
              <w:rPr>
                <w:sz w:val="18"/>
                <w:szCs w:val="18"/>
                <w:lang w:val="en-IN"/>
              </w:rPr>
            </w:pPr>
            <w:r w:rsidRPr="00CA5241">
              <w:rPr>
                <w:bCs/>
                <w:sz w:val="18"/>
                <w:szCs w:val="18"/>
                <w:lang w:val="en-IN"/>
              </w:rPr>
              <w:t>Risk 2</w:t>
            </w:r>
          </w:p>
        </w:tc>
        <w:tc>
          <w:tcPr>
            <w:tcW w:w="613" w:type="pct"/>
            <w:tcBorders>
              <w:top w:val="nil"/>
              <w:left w:val="nil"/>
              <w:bottom w:val="nil"/>
              <w:right w:val="nil"/>
            </w:tcBorders>
            <w:shd w:val="clear" w:color="auto" w:fill="auto"/>
            <w:tcMar>
              <w:top w:w="12" w:type="dxa"/>
              <w:left w:w="12" w:type="dxa"/>
              <w:bottom w:w="0" w:type="dxa"/>
              <w:right w:w="12" w:type="dxa"/>
            </w:tcMar>
            <w:vAlign w:val="center"/>
            <w:hideMark/>
          </w:tcPr>
          <w:p w14:paraId="78B3C603"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1/3</w:t>
            </w:r>
          </w:p>
        </w:tc>
        <w:tc>
          <w:tcPr>
            <w:tcW w:w="831" w:type="pct"/>
            <w:tcBorders>
              <w:top w:val="nil"/>
              <w:left w:val="nil"/>
              <w:bottom w:val="nil"/>
              <w:right w:val="nil"/>
            </w:tcBorders>
            <w:shd w:val="clear" w:color="auto" w:fill="E2F0D9"/>
            <w:tcMar>
              <w:top w:w="12" w:type="dxa"/>
              <w:left w:w="12" w:type="dxa"/>
              <w:bottom w:w="0" w:type="dxa"/>
              <w:right w:w="12" w:type="dxa"/>
            </w:tcMar>
            <w:vAlign w:val="center"/>
            <w:hideMark/>
          </w:tcPr>
          <w:p w14:paraId="23C05DFF"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w:t>
            </w:r>
          </w:p>
        </w:tc>
        <w:tc>
          <w:tcPr>
            <w:tcW w:w="760" w:type="pct"/>
            <w:tcBorders>
              <w:top w:val="nil"/>
              <w:left w:val="nil"/>
              <w:bottom w:val="nil"/>
              <w:right w:val="nil"/>
            </w:tcBorders>
            <w:shd w:val="clear" w:color="auto" w:fill="auto"/>
            <w:tcMar>
              <w:top w:w="12" w:type="dxa"/>
              <w:left w:w="12" w:type="dxa"/>
              <w:bottom w:w="0" w:type="dxa"/>
              <w:right w:w="12" w:type="dxa"/>
            </w:tcMar>
            <w:vAlign w:val="center"/>
            <w:hideMark/>
          </w:tcPr>
          <w:p w14:paraId="25E2D1AF"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3</w:t>
            </w:r>
          </w:p>
        </w:tc>
        <w:tc>
          <w:tcPr>
            <w:tcW w:w="552" w:type="pct"/>
            <w:tcBorders>
              <w:top w:val="nil"/>
              <w:left w:val="nil"/>
              <w:bottom w:val="nil"/>
              <w:right w:val="nil"/>
            </w:tcBorders>
            <w:shd w:val="clear" w:color="auto" w:fill="auto"/>
            <w:tcMar>
              <w:top w:w="12" w:type="dxa"/>
              <w:left w:w="12" w:type="dxa"/>
              <w:bottom w:w="0" w:type="dxa"/>
              <w:right w:w="12" w:type="dxa"/>
            </w:tcMar>
            <w:vAlign w:val="center"/>
            <w:hideMark/>
          </w:tcPr>
          <w:p w14:paraId="0992FC72"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5</w:t>
            </w:r>
          </w:p>
        </w:tc>
        <w:tc>
          <w:tcPr>
            <w:tcW w:w="653" w:type="pct"/>
            <w:tcBorders>
              <w:top w:val="nil"/>
              <w:left w:val="nil"/>
              <w:bottom w:val="nil"/>
              <w:right w:val="nil"/>
            </w:tcBorders>
            <w:shd w:val="clear" w:color="auto" w:fill="auto"/>
            <w:tcMar>
              <w:top w:w="12" w:type="dxa"/>
              <w:left w:w="12" w:type="dxa"/>
              <w:bottom w:w="0" w:type="dxa"/>
              <w:right w:w="12" w:type="dxa"/>
            </w:tcMar>
            <w:vAlign w:val="center"/>
            <w:hideMark/>
          </w:tcPr>
          <w:p w14:paraId="66EB5B08"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1/3</w:t>
            </w:r>
          </w:p>
        </w:tc>
        <w:tc>
          <w:tcPr>
            <w:tcW w:w="653" w:type="pct"/>
            <w:tcBorders>
              <w:top w:val="nil"/>
              <w:left w:val="nil"/>
              <w:bottom w:val="nil"/>
              <w:right w:val="nil"/>
            </w:tcBorders>
            <w:shd w:val="clear" w:color="auto" w:fill="auto"/>
            <w:tcMar>
              <w:top w:w="12" w:type="dxa"/>
              <w:left w:w="12" w:type="dxa"/>
              <w:bottom w:w="0" w:type="dxa"/>
              <w:right w:w="12" w:type="dxa"/>
            </w:tcMar>
            <w:vAlign w:val="center"/>
            <w:hideMark/>
          </w:tcPr>
          <w:p w14:paraId="6E1035E5"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w:t>
            </w:r>
          </w:p>
        </w:tc>
      </w:tr>
      <w:tr w:rsidR="00E8144F" w:rsidRPr="00CA5241" w14:paraId="2CB757E1" w14:textId="77777777" w:rsidTr="00CA5241">
        <w:trPr>
          <w:trHeight w:val="144"/>
        </w:trPr>
        <w:tc>
          <w:tcPr>
            <w:tcW w:w="938" w:type="pct"/>
            <w:tcBorders>
              <w:top w:val="nil"/>
              <w:left w:val="nil"/>
              <w:bottom w:val="nil"/>
              <w:right w:val="nil"/>
            </w:tcBorders>
            <w:shd w:val="clear" w:color="auto" w:fill="auto"/>
            <w:tcMar>
              <w:top w:w="12" w:type="dxa"/>
              <w:left w:w="12" w:type="dxa"/>
              <w:bottom w:w="0" w:type="dxa"/>
              <w:right w:w="12" w:type="dxa"/>
            </w:tcMar>
            <w:vAlign w:val="center"/>
            <w:hideMark/>
          </w:tcPr>
          <w:p w14:paraId="6975B4C1" w14:textId="77777777" w:rsidR="00E8144F" w:rsidRPr="00CA5241" w:rsidRDefault="00E8144F" w:rsidP="00CA5241">
            <w:pPr>
              <w:spacing w:line="240" w:lineRule="auto"/>
              <w:ind w:firstLine="0"/>
              <w:jc w:val="center"/>
              <w:rPr>
                <w:sz w:val="18"/>
                <w:szCs w:val="18"/>
                <w:lang w:val="en-IN"/>
              </w:rPr>
            </w:pPr>
            <w:r w:rsidRPr="00CA5241">
              <w:rPr>
                <w:bCs/>
                <w:sz w:val="18"/>
                <w:szCs w:val="18"/>
                <w:lang w:val="en-IN"/>
              </w:rPr>
              <w:t>Risk 3</w:t>
            </w:r>
          </w:p>
        </w:tc>
        <w:tc>
          <w:tcPr>
            <w:tcW w:w="613" w:type="pct"/>
            <w:tcBorders>
              <w:top w:val="nil"/>
              <w:left w:val="nil"/>
              <w:bottom w:val="nil"/>
              <w:right w:val="nil"/>
            </w:tcBorders>
            <w:shd w:val="clear" w:color="auto" w:fill="auto"/>
            <w:tcMar>
              <w:top w:w="12" w:type="dxa"/>
              <w:left w:w="12" w:type="dxa"/>
              <w:bottom w:w="0" w:type="dxa"/>
              <w:right w:w="12" w:type="dxa"/>
            </w:tcMar>
            <w:vAlign w:val="center"/>
            <w:hideMark/>
          </w:tcPr>
          <w:p w14:paraId="63A4350A"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1/5</w:t>
            </w:r>
          </w:p>
        </w:tc>
        <w:tc>
          <w:tcPr>
            <w:tcW w:w="831" w:type="pct"/>
            <w:tcBorders>
              <w:top w:val="nil"/>
              <w:left w:val="nil"/>
              <w:bottom w:val="nil"/>
              <w:right w:val="nil"/>
            </w:tcBorders>
            <w:shd w:val="clear" w:color="auto" w:fill="auto"/>
            <w:tcMar>
              <w:top w:w="12" w:type="dxa"/>
              <w:left w:w="12" w:type="dxa"/>
              <w:bottom w:w="0" w:type="dxa"/>
              <w:right w:w="12" w:type="dxa"/>
            </w:tcMar>
            <w:vAlign w:val="center"/>
            <w:hideMark/>
          </w:tcPr>
          <w:p w14:paraId="2D93B42C"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1/3</w:t>
            </w:r>
          </w:p>
        </w:tc>
        <w:tc>
          <w:tcPr>
            <w:tcW w:w="760" w:type="pct"/>
            <w:tcBorders>
              <w:top w:val="nil"/>
              <w:left w:val="nil"/>
              <w:bottom w:val="nil"/>
              <w:right w:val="nil"/>
            </w:tcBorders>
            <w:shd w:val="clear" w:color="auto" w:fill="E2F0D9"/>
            <w:tcMar>
              <w:top w:w="12" w:type="dxa"/>
              <w:left w:w="12" w:type="dxa"/>
              <w:bottom w:w="0" w:type="dxa"/>
              <w:right w:w="12" w:type="dxa"/>
            </w:tcMar>
            <w:vAlign w:val="center"/>
            <w:hideMark/>
          </w:tcPr>
          <w:p w14:paraId="1673D946"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w:t>
            </w:r>
          </w:p>
        </w:tc>
        <w:tc>
          <w:tcPr>
            <w:tcW w:w="552" w:type="pct"/>
            <w:tcBorders>
              <w:top w:val="nil"/>
              <w:left w:val="nil"/>
              <w:bottom w:val="nil"/>
              <w:right w:val="nil"/>
            </w:tcBorders>
            <w:shd w:val="clear" w:color="auto" w:fill="auto"/>
            <w:tcMar>
              <w:top w:w="12" w:type="dxa"/>
              <w:left w:w="12" w:type="dxa"/>
              <w:bottom w:w="0" w:type="dxa"/>
              <w:right w:w="12" w:type="dxa"/>
            </w:tcMar>
            <w:vAlign w:val="center"/>
            <w:hideMark/>
          </w:tcPr>
          <w:p w14:paraId="75630B5F"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3</w:t>
            </w:r>
          </w:p>
        </w:tc>
        <w:tc>
          <w:tcPr>
            <w:tcW w:w="653" w:type="pct"/>
            <w:tcBorders>
              <w:top w:val="nil"/>
              <w:left w:val="nil"/>
              <w:bottom w:val="nil"/>
              <w:right w:val="nil"/>
            </w:tcBorders>
            <w:shd w:val="clear" w:color="auto" w:fill="auto"/>
            <w:tcMar>
              <w:top w:w="12" w:type="dxa"/>
              <w:left w:w="12" w:type="dxa"/>
              <w:bottom w:w="0" w:type="dxa"/>
              <w:right w:w="12" w:type="dxa"/>
            </w:tcMar>
            <w:vAlign w:val="center"/>
            <w:hideMark/>
          </w:tcPr>
          <w:p w14:paraId="73B83D82"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1/5</w:t>
            </w:r>
          </w:p>
        </w:tc>
        <w:tc>
          <w:tcPr>
            <w:tcW w:w="653" w:type="pct"/>
            <w:tcBorders>
              <w:top w:val="nil"/>
              <w:left w:val="nil"/>
              <w:bottom w:val="nil"/>
              <w:right w:val="nil"/>
            </w:tcBorders>
            <w:shd w:val="clear" w:color="auto" w:fill="auto"/>
            <w:tcMar>
              <w:top w:w="12" w:type="dxa"/>
              <w:left w:w="12" w:type="dxa"/>
              <w:bottom w:w="0" w:type="dxa"/>
              <w:right w:w="12" w:type="dxa"/>
            </w:tcMar>
            <w:vAlign w:val="center"/>
            <w:hideMark/>
          </w:tcPr>
          <w:p w14:paraId="7E1CAA1F"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1/3</w:t>
            </w:r>
          </w:p>
        </w:tc>
      </w:tr>
      <w:tr w:rsidR="00E8144F" w:rsidRPr="00CA5241" w14:paraId="2DA3353E" w14:textId="77777777" w:rsidTr="00CA5241">
        <w:trPr>
          <w:trHeight w:val="144"/>
        </w:trPr>
        <w:tc>
          <w:tcPr>
            <w:tcW w:w="938" w:type="pct"/>
            <w:tcBorders>
              <w:top w:val="nil"/>
              <w:left w:val="nil"/>
              <w:bottom w:val="nil"/>
              <w:right w:val="nil"/>
            </w:tcBorders>
            <w:shd w:val="clear" w:color="auto" w:fill="auto"/>
            <w:tcMar>
              <w:top w:w="12" w:type="dxa"/>
              <w:left w:w="12" w:type="dxa"/>
              <w:bottom w:w="0" w:type="dxa"/>
              <w:right w:w="12" w:type="dxa"/>
            </w:tcMar>
            <w:vAlign w:val="center"/>
            <w:hideMark/>
          </w:tcPr>
          <w:p w14:paraId="10B32CE1" w14:textId="77777777" w:rsidR="00E8144F" w:rsidRPr="00CA5241" w:rsidRDefault="00E8144F" w:rsidP="00CA5241">
            <w:pPr>
              <w:spacing w:line="240" w:lineRule="auto"/>
              <w:ind w:firstLine="0"/>
              <w:jc w:val="center"/>
              <w:rPr>
                <w:sz w:val="18"/>
                <w:szCs w:val="18"/>
                <w:lang w:val="en-IN"/>
              </w:rPr>
            </w:pPr>
            <w:r w:rsidRPr="00CA5241">
              <w:rPr>
                <w:bCs/>
                <w:sz w:val="18"/>
                <w:szCs w:val="18"/>
                <w:lang w:val="en-IN"/>
              </w:rPr>
              <w:t>Risk 4</w:t>
            </w:r>
          </w:p>
        </w:tc>
        <w:tc>
          <w:tcPr>
            <w:tcW w:w="613" w:type="pct"/>
            <w:tcBorders>
              <w:top w:val="nil"/>
              <w:left w:val="nil"/>
              <w:bottom w:val="nil"/>
              <w:right w:val="nil"/>
            </w:tcBorders>
            <w:shd w:val="clear" w:color="auto" w:fill="auto"/>
            <w:tcMar>
              <w:top w:w="12" w:type="dxa"/>
              <w:left w:w="12" w:type="dxa"/>
              <w:bottom w:w="0" w:type="dxa"/>
              <w:right w:w="12" w:type="dxa"/>
            </w:tcMar>
            <w:vAlign w:val="center"/>
            <w:hideMark/>
          </w:tcPr>
          <w:p w14:paraId="44CD7AEC"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1/7</w:t>
            </w:r>
          </w:p>
        </w:tc>
        <w:tc>
          <w:tcPr>
            <w:tcW w:w="831" w:type="pct"/>
            <w:tcBorders>
              <w:top w:val="nil"/>
              <w:left w:val="nil"/>
              <w:bottom w:val="nil"/>
              <w:right w:val="nil"/>
            </w:tcBorders>
            <w:shd w:val="clear" w:color="auto" w:fill="auto"/>
            <w:tcMar>
              <w:top w:w="12" w:type="dxa"/>
              <w:left w:w="12" w:type="dxa"/>
              <w:bottom w:w="0" w:type="dxa"/>
              <w:right w:w="12" w:type="dxa"/>
            </w:tcMar>
            <w:vAlign w:val="center"/>
            <w:hideMark/>
          </w:tcPr>
          <w:p w14:paraId="19F178A4"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1/5</w:t>
            </w:r>
          </w:p>
        </w:tc>
        <w:tc>
          <w:tcPr>
            <w:tcW w:w="760" w:type="pct"/>
            <w:tcBorders>
              <w:top w:val="nil"/>
              <w:left w:val="nil"/>
              <w:bottom w:val="nil"/>
              <w:right w:val="nil"/>
            </w:tcBorders>
            <w:shd w:val="clear" w:color="auto" w:fill="auto"/>
            <w:tcMar>
              <w:top w:w="12" w:type="dxa"/>
              <w:left w:w="12" w:type="dxa"/>
              <w:bottom w:w="0" w:type="dxa"/>
              <w:right w:w="12" w:type="dxa"/>
            </w:tcMar>
            <w:vAlign w:val="center"/>
            <w:hideMark/>
          </w:tcPr>
          <w:p w14:paraId="5FADFB4D"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1/3</w:t>
            </w:r>
          </w:p>
        </w:tc>
        <w:tc>
          <w:tcPr>
            <w:tcW w:w="552" w:type="pct"/>
            <w:tcBorders>
              <w:top w:val="nil"/>
              <w:left w:val="nil"/>
              <w:bottom w:val="nil"/>
              <w:right w:val="nil"/>
            </w:tcBorders>
            <w:shd w:val="clear" w:color="auto" w:fill="E2F0D9"/>
            <w:tcMar>
              <w:top w:w="12" w:type="dxa"/>
              <w:left w:w="12" w:type="dxa"/>
              <w:bottom w:w="0" w:type="dxa"/>
              <w:right w:w="12" w:type="dxa"/>
            </w:tcMar>
            <w:vAlign w:val="center"/>
            <w:hideMark/>
          </w:tcPr>
          <w:p w14:paraId="308E9D01"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w:t>
            </w:r>
          </w:p>
        </w:tc>
        <w:tc>
          <w:tcPr>
            <w:tcW w:w="653" w:type="pct"/>
            <w:tcBorders>
              <w:top w:val="nil"/>
              <w:left w:val="nil"/>
              <w:bottom w:val="nil"/>
              <w:right w:val="nil"/>
            </w:tcBorders>
            <w:shd w:val="clear" w:color="auto" w:fill="auto"/>
            <w:tcMar>
              <w:top w:w="12" w:type="dxa"/>
              <w:left w:w="12" w:type="dxa"/>
              <w:bottom w:w="0" w:type="dxa"/>
              <w:right w:w="12" w:type="dxa"/>
            </w:tcMar>
            <w:vAlign w:val="center"/>
            <w:hideMark/>
          </w:tcPr>
          <w:p w14:paraId="6A29F5A5"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1/7</w:t>
            </w:r>
          </w:p>
        </w:tc>
        <w:tc>
          <w:tcPr>
            <w:tcW w:w="653" w:type="pct"/>
            <w:tcBorders>
              <w:top w:val="nil"/>
              <w:left w:val="nil"/>
              <w:bottom w:val="nil"/>
              <w:right w:val="nil"/>
            </w:tcBorders>
            <w:shd w:val="clear" w:color="auto" w:fill="auto"/>
            <w:tcMar>
              <w:top w:w="12" w:type="dxa"/>
              <w:left w:w="12" w:type="dxa"/>
              <w:bottom w:w="0" w:type="dxa"/>
              <w:right w:w="12" w:type="dxa"/>
            </w:tcMar>
            <w:vAlign w:val="center"/>
            <w:hideMark/>
          </w:tcPr>
          <w:p w14:paraId="66C1A351"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1/5</w:t>
            </w:r>
          </w:p>
        </w:tc>
      </w:tr>
      <w:tr w:rsidR="00E8144F" w:rsidRPr="00CA5241" w14:paraId="686CF852" w14:textId="77777777" w:rsidTr="00CA5241">
        <w:trPr>
          <w:trHeight w:val="144"/>
        </w:trPr>
        <w:tc>
          <w:tcPr>
            <w:tcW w:w="938" w:type="pct"/>
            <w:tcBorders>
              <w:top w:val="nil"/>
              <w:left w:val="nil"/>
              <w:bottom w:val="nil"/>
              <w:right w:val="nil"/>
            </w:tcBorders>
            <w:shd w:val="clear" w:color="auto" w:fill="auto"/>
            <w:tcMar>
              <w:top w:w="12" w:type="dxa"/>
              <w:left w:w="12" w:type="dxa"/>
              <w:bottom w:w="0" w:type="dxa"/>
              <w:right w:w="12" w:type="dxa"/>
            </w:tcMar>
            <w:vAlign w:val="center"/>
            <w:hideMark/>
          </w:tcPr>
          <w:p w14:paraId="693E44B1" w14:textId="77777777" w:rsidR="00E8144F" w:rsidRPr="00CA5241" w:rsidRDefault="00E8144F" w:rsidP="00CA5241">
            <w:pPr>
              <w:spacing w:line="240" w:lineRule="auto"/>
              <w:ind w:firstLine="0"/>
              <w:jc w:val="center"/>
              <w:rPr>
                <w:sz w:val="18"/>
                <w:szCs w:val="18"/>
                <w:lang w:val="en-IN"/>
              </w:rPr>
            </w:pPr>
            <w:r w:rsidRPr="00CA5241">
              <w:rPr>
                <w:bCs/>
                <w:sz w:val="18"/>
                <w:szCs w:val="18"/>
                <w:lang w:val="en-IN"/>
              </w:rPr>
              <w:t>Risk 5</w:t>
            </w:r>
          </w:p>
        </w:tc>
        <w:tc>
          <w:tcPr>
            <w:tcW w:w="613" w:type="pct"/>
            <w:tcBorders>
              <w:top w:val="nil"/>
              <w:left w:val="nil"/>
              <w:bottom w:val="nil"/>
              <w:right w:val="nil"/>
            </w:tcBorders>
            <w:shd w:val="clear" w:color="auto" w:fill="DAE3F3"/>
            <w:tcMar>
              <w:top w:w="12" w:type="dxa"/>
              <w:left w:w="12" w:type="dxa"/>
              <w:bottom w:w="0" w:type="dxa"/>
              <w:right w:w="12" w:type="dxa"/>
            </w:tcMar>
            <w:vAlign w:val="center"/>
            <w:hideMark/>
          </w:tcPr>
          <w:p w14:paraId="14DE2AD9"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1/3</w:t>
            </w:r>
          </w:p>
        </w:tc>
        <w:tc>
          <w:tcPr>
            <w:tcW w:w="831" w:type="pct"/>
            <w:tcBorders>
              <w:top w:val="nil"/>
              <w:left w:val="nil"/>
              <w:bottom w:val="nil"/>
              <w:right w:val="nil"/>
            </w:tcBorders>
            <w:shd w:val="clear" w:color="auto" w:fill="auto"/>
            <w:tcMar>
              <w:top w:w="12" w:type="dxa"/>
              <w:left w:w="12" w:type="dxa"/>
              <w:bottom w:w="0" w:type="dxa"/>
              <w:right w:w="12" w:type="dxa"/>
            </w:tcMar>
            <w:vAlign w:val="center"/>
            <w:hideMark/>
          </w:tcPr>
          <w:p w14:paraId="2A1E7391"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3</w:t>
            </w:r>
          </w:p>
        </w:tc>
        <w:tc>
          <w:tcPr>
            <w:tcW w:w="760" w:type="pct"/>
            <w:tcBorders>
              <w:top w:val="nil"/>
              <w:left w:val="nil"/>
              <w:bottom w:val="nil"/>
              <w:right w:val="nil"/>
            </w:tcBorders>
            <w:shd w:val="clear" w:color="auto" w:fill="auto"/>
            <w:tcMar>
              <w:top w:w="12" w:type="dxa"/>
              <w:left w:w="12" w:type="dxa"/>
              <w:bottom w:w="0" w:type="dxa"/>
              <w:right w:w="12" w:type="dxa"/>
            </w:tcMar>
            <w:vAlign w:val="center"/>
            <w:hideMark/>
          </w:tcPr>
          <w:p w14:paraId="6D444602"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5</w:t>
            </w:r>
          </w:p>
        </w:tc>
        <w:tc>
          <w:tcPr>
            <w:tcW w:w="552" w:type="pct"/>
            <w:tcBorders>
              <w:top w:val="nil"/>
              <w:left w:val="nil"/>
              <w:bottom w:val="nil"/>
              <w:right w:val="nil"/>
            </w:tcBorders>
            <w:shd w:val="clear" w:color="auto" w:fill="auto"/>
            <w:tcMar>
              <w:top w:w="12" w:type="dxa"/>
              <w:left w:w="12" w:type="dxa"/>
              <w:bottom w:w="0" w:type="dxa"/>
              <w:right w:w="12" w:type="dxa"/>
            </w:tcMar>
            <w:vAlign w:val="center"/>
            <w:hideMark/>
          </w:tcPr>
          <w:p w14:paraId="6F3EADBD"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7</w:t>
            </w:r>
          </w:p>
        </w:tc>
        <w:tc>
          <w:tcPr>
            <w:tcW w:w="653" w:type="pct"/>
            <w:tcBorders>
              <w:top w:val="nil"/>
              <w:left w:val="nil"/>
              <w:bottom w:val="nil"/>
              <w:right w:val="nil"/>
            </w:tcBorders>
            <w:shd w:val="clear" w:color="auto" w:fill="E2F0D9"/>
            <w:tcMar>
              <w:top w:w="12" w:type="dxa"/>
              <w:left w:w="12" w:type="dxa"/>
              <w:bottom w:w="0" w:type="dxa"/>
              <w:right w:w="12" w:type="dxa"/>
            </w:tcMar>
            <w:vAlign w:val="center"/>
            <w:hideMark/>
          </w:tcPr>
          <w:p w14:paraId="529C24F8"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w:t>
            </w:r>
          </w:p>
        </w:tc>
        <w:tc>
          <w:tcPr>
            <w:tcW w:w="653" w:type="pct"/>
            <w:tcBorders>
              <w:top w:val="nil"/>
              <w:left w:val="nil"/>
              <w:bottom w:val="nil"/>
              <w:right w:val="nil"/>
            </w:tcBorders>
            <w:shd w:val="clear" w:color="auto" w:fill="auto"/>
            <w:tcMar>
              <w:top w:w="12" w:type="dxa"/>
              <w:left w:w="12" w:type="dxa"/>
              <w:bottom w:w="0" w:type="dxa"/>
              <w:right w:w="12" w:type="dxa"/>
            </w:tcMar>
            <w:vAlign w:val="center"/>
            <w:hideMark/>
          </w:tcPr>
          <w:p w14:paraId="4B431AEE"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3</w:t>
            </w:r>
          </w:p>
        </w:tc>
      </w:tr>
      <w:tr w:rsidR="00E8144F" w:rsidRPr="00CA5241" w14:paraId="168C7FCD" w14:textId="77777777" w:rsidTr="00CA5241">
        <w:trPr>
          <w:trHeight w:val="144"/>
        </w:trPr>
        <w:tc>
          <w:tcPr>
            <w:tcW w:w="938" w:type="pct"/>
            <w:tcBorders>
              <w:top w:val="nil"/>
              <w:left w:val="nil"/>
              <w:bottom w:val="single" w:sz="8" w:space="0" w:color="auto"/>
              <w:right w:val="nil"/>
            </w:tcBorders>
            <w:shd w:val="clear" w:color="auto" w:fill="auto"/>
            <w:tcMar>
              <w:top w:w="12" w:type="dxa"/>
              <w:left w:w="12" w:type="dxa"/>
              <w:bottom w:w="0" w:type="dxa"/>
              <w:right w:w="12" w:type="dxa"/>
            </w:tcMar>
            <w:vAlign w:val="center"/>
            <w:hideMark/>
          </w:tcPr>
          <w:p w14:paraId="377F5627" w14:textId="77777777" w:rsidR="00E8144F" w:rsidRPr="00CA5241" w:rsidRDefault="00E8144F" w:rsidP="00CA5241">
            <w:pPr>
              <w:spacing w:line="240" w:lineRule="auto"/>
              <w:ind w:firstLine="0"/>
              <w:jc w:val="center"/>
              <w:rPr>
                <w:sz w:val="18"/>
                <w:szCs w:val="18"/>
                <w:lang w:val="en-IN"/>
              </w:rPr>
            </w:pPr>
            <w:r w:rsidRPr="00CA5241">
              <w:rPr>
                <w:bCs/>
                <w:sz w:val="18"/>
                <w:szCs w:val="18"/>
                <w:lang w:val="en-IN"/>
              </w:rPr>
              <w:t>Risk 6</w:t>
            </w:r>
          </w:p>
        </w:tc>
        <w:tc>
          <w:tcPr>
            <w:tcW w:w="613" w:type="pct"/>
            <w:tcBorders>
              <w:top w:val="nil"/>
              <w:left w:val="nil"/>
              <w:bottom w:val="single" w:sz="8" w:space="0" w:color="auto"/>
              <w:right w:val="nil"/>
            </w:tcBorders>
            <w:shd w:val="clear" w:color="auto" w:fill="auto"/>
            <w:tcMar>
              <w:top w:w="12" w:type="dxa"/>
              <w:left w:w="12" w:type="dxa"/>
              <w:bottom w:w="0" w:type="dxa"/>
              <w:right w:w="12" w:type="dxa"/>
            </w:tcMar>
            <w:vAlign w:val="center"/>
            <w:hideMark/>
          </w:tcPr>
          <w:p w14:paraId="2B18F361"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1/5</w:t>
            </w:r>
          </w:p>
        </w:tc>
        <w:tc>
          <w:tcPr>
            <w:tcW w:w="831" w:type="pct"/>
            <w:tcBorders>
              <w:top w:val="nil"/>
              <w:left w:val="nil"/>
              <w:bottom w:val="single" w:sz="8" w:space="0" w:color="auto"/>
              <w:right w:val="nil"/>
            </w:tcBorders>
            <w:shd w:val="clear" w:color="auto" w:fill="auto"/>
            <w:tcMar>
              <w:top w:w="12" w:type="dxa"/>
              <w:left w:w="12" w:type="dxa"/>
              <w:bottom w:w="0" w:type="dxa"/>
              <w:right w:w="12" w:type="dxa"/>
            </w:tcMar>
            <w:vAlign w:val="center"/>
            <w:hideMark/>
          </w:tcPr>
          <w:p w14:paraId="773DA893"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w:t>
            </w:r>
          </w:p>
        </w:tc>
        <w:tc>
          <w:tcPr>
            <w:tcW w:w="760" w:type="pct"/>
            <w:tcBorders>
              <w:top w:val="nil"/>
              <w:left w:val="nil"/>
              <w:bottom w:val="single" w:sz="8" w:space="0" w:color="auto"/>
              <w:right w:val="nil"/>
            </w:tcBorders>
            <w:shd w:val="clear" w:color="auto" w:fill="auto"/>
            <w:tcMar>
              <w:top w:w="12" w:type="dxa"/>
              <w:left w:w="12" w:type="dxa"/>
              <w:bottom w:w="0" w:type="dxa"/>
              <w:right w:w="12" w:type="dxa"/>
            </w:tcMar>
            <w:vAlign w:val="center"/>
            <w:hideMark/>
          </w:tcPr>
          <w:p w14:paraId="13791587"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3</w:t>
            </w:r>
          </w:p>
        </w:tc>
        <w:tc>
          <w:tcPr>
            <w:tcW w:w="552" w:type="pct"/>
            <w:tcBorders>
              <w:top w:val="nil"/>
              <w:left w:val="nil"/>
              <w:bottom w:val="single" w:sz="8" w:space="0" w:color="auto"/>
              <w:right w:val="nil"/>
            </w:tcBorders>
            <w:shd w:val="clear" w:color="auto" w:fill="auto"/>
            <w:tcMar>
              <w:top w:w="12" w:type="dxa"/>
              <w:left w:w="12" w:type="dxa"/>
              <w:bottom w:w="0" w:type="dxa"/>
              <w:right w:w="12" w:type="dxa"/>
            </w:tcMar>
            <w:vAlign w:val="center"/>
            <w:hideMark/>
          </w:tcPr>
          <w:p w14:paraId="273B94EA"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5</w:t>
            </w:r>
          </w:p>
        </w:tc>
        <w:tc>
          <w:tcPr>
            <w:tcW w:w="653" w:type="pct"/>
            <w:tcBorders>
              <w:top w:val="nil"/>
              <w:left w:val="nil"/>
              <w:bottom w:val="single" w:sz="8" w:space="0" w:color="auto"/>
              <w:right w:val="nil"/>
            </w:tcBorders>
            <w:shd w:val="clear" w:color="auto" w:fill="auto"/>
            <w:tcMar>
              <w:top w:w="12" w:type="dxa"/>
              <w:left w:w="12" w:type="dxa"/>
              <w:bottom w:w="0" w:type="dxa"/>
              <w:right w:w="12" w:type="dxa"/>
            </w:tcMar>
            <w:vAlign w:val="center"/>
            <w:hideMark/>
          </w:tcPr>
          <w:p w14:paraId="33CCA9AE"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1/3</w:t>
            </w:r>
          </w:p>
        </w:tc>
        <w:tc>
          <w:tcPr>
            <w:tcW w:w="653" w:type="pct"/>
            <w:tcBorders>
              <w:top w:val="nil"/>
              <w:left w:val="nil"/>
              <w:bottom w:val="single" w:sz="8" w:space="0" w:color="auto"/>
              <w:right w:val="nil"/>
            </w:tcBorders>
            <w:shd w:val="clear" w:color="auto" w:fill="E2F0D9"/>
            <w:tcMar>
              <w:top w:w="12" w:type="dxa"/>
              <w:left w:w="12" w:type="dxa"/>
              <w:bottom w:w="0" w:type="dxa"/>
              <w:right w:w="12" w:type="dxa"/>
            </w:tcMar>
            <w:vAlign w:val="center"/>
            <w:hideMark/>
          </w:tcPr>
          <w:p w14:paraId="4D96356D"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w:t>
            </w:r>
          </w:p>
        </w:tc>
      </w:tr>
      <w:tr w:rsidR="00E8144F" w:rsidRPr="00CA5241" w14:paraId="448FFF6B" w14:textId="77777777" w:rsidTr="00CA5241">
        <w:trPr>
          <w:trHeight w:val="219"/>
        </w:trPr>
        <w:tc>
          <w:tcPr>
            <w:tcW w:w="938" w:type="pct"/>
            <w:tcBorders>
              <w:top w:val="single" w:sz="8" w:space="0" w:color="auto"/>
              <w:left w:val="nil"/>
              <w:bottom w:val="single" w:sz="8" w:space="0" w:color="auto"/>
              <w:right w:val="nil"/>
            </w:tcBorders>
            <w:shd w:val="clear" w:color="auto" w:fill="auto"/>
            <w:tcMar>
              <w:top w:w="12" w:type="dxa"/>
              <w:left w:w="12" w:type="dxa"/>
              <w:bottom w:w="0" w:type="dxa"/>
              <w:right w:w="12" w:type="dxa"/>
            </w:tcMar>
            <w:vAlign w:val="center"/>
            <w:hideMark/>
          </w:tcPr>
          <w:p w14:paraId="270F8FD9"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Column Sum</w:t>
            </w:r>
          </w:p>
        </w:tc>
        <w:tc>
          <w:tcPr>
            <w:tcW w:w="613" w:type="pct"/>
            <w:tcBorders>
              <w:top w:val="single" w:sz="8" w:space="0" w:color="auto"/>
              <w:left w:val="nil"/>
              <w:bottom w:val="single" w:sz="8" w:space="0" w:color="auto"/>
              <w:right w:val="nil"/>
            </w:tcBorders>
            <w:shd w:val="clear" w:color="auto" w:fill="auto"/>
            <w:tcMar>
              <w:top w:w="12" w:type="dxa"/>
              <w:left w:w="12" w:type="dxa"/>
              <w:bottom w:w="0" w:type="dxa"/>
              <w:right w:w="12" w:type="dxa"/>
            </w:tcMar>
            <w:vAlign w:val="center"/>
            <w:hideMark/>
          </w:tcPr>
          <w:p w14:paraId="1B0E5066"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2.21</w:t>
            </w:r>
          </w:p>
        </w:tc>
        <w:tc>
          <w:tcPr>
            <w:tcW w:w="831" w:type="pct"/>
            <w:tcBorders>
              <w:top w:val="single" w:sz="8" w:space="0" w:color="auto"/>
              <w:left w:val="nil"/>
              <w:bottom w:val="single" w:sz="8" w:space="0" w:color="auto"/>
              <w:right w:val="nil"/>
            </w:tcBorders>
            <w:shd w:val="clear" w:color="auto" w:fill="auto"/>
            <w:tcMar>
              <w:top w:w="12" w:type="dxa"/>
              <w:left w:w="12" w:type="dxa"/>
              <w:bottom w:w="0" w:type="dxa"/>
              <w:right w:w="12" w:type="dxa"/>
            </w:tcMar>
            <w:vAlign w:val="center"/>
            <w:hideMark/>
          </w:tcPr>
          <w:p w14:paraId="0F2F275C"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8.53</w:t>
            </w:r>
          </w:p>
        </w:tc>
        <w:tc>
          <w:tcPr>
            <w:tcW w:w="760" w:type="pct"/>
            <w:tcBorders>
              <w:top w:val="single" w:sz="8" w:space="0" w:color="auto"/>
              <w:left w:val="nil"/>
              <w:bottom w:val="single" w:sz="8" w:space="0" w:color="auto"/>
              <w:right w:val="nil"/>
            </w:tcBorders>
            <w:shd w:val="clear" w:color="auto" w:fill="auto"/>
            <w:tcMar>
              <w:top w:w="12" w:type="dxa"/>
              <w:left w:w="12" w:type="dxa"/>
              <w:bottom w:w="0" w:type="dxa"/>
              <w:right w:w="12" w:type="dxa"/>
            </w:tcMar>
            <w:vAlign w:val="center"/>
            <w:hideMark/>
          </w:tcPr>
          <w:p w14:paraId="1F05A0C8"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17.33</w:t>
            </w:r>
          </w:p>
        </w:tc>
        <w:tc>
          <w:tcPr>
            <w:tcW w:w="552" w:type="pct"/>
            <w:tcBorders>
              <w:top w:val="single" w:sz="8" w:space="0" w:color="auto"/>
              <w:left w:val="nil"/>
              <w:bottom w:val="single" w:sz="8" w:space="0" w:color="auto"/>
              <w:right w:val="nil"/>
            </w:tcBorders>
            <w:shd w:val="clear" w:color="auto" w:fill="auto"/>
            <w:tcMar>
              <w:top w:w="12" w:type="dxa"/>
              <w:left w:w="12" w:type="dxa"/>
              <w:bottom w:w="0" w:type="dxa"/>
              <w:right w:w="12" w:type="dxa"/>
            </w:tcMar>
            <w:vAlign w:val="center"/>
            <w:hideMark/>
          </w:tcPr>
          <w:p w14:paraId="35F5E083"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28.00</w:t>
            </w:r>
          </w:p>
        </w:tc>
        <w:tc>
          <w:tcPr>
            <w:tcW w:w="653" w:type="pct"/>
            <w:tcBorders>
              <w:top w:val="single" w:sz="8" w:space="0" w:color="auto"/>
              <w:left w:val="nil"/>
              <w:bottom w:val="single" w:sz="8" w:space="0" w:color="auto"/>
              <w:right w:val="nil"/>
            </w:tcBorders>
            <w:shd w:val="clear" w:color="auto" w:fill="auto"/>
            <w:tcMar>
              <w:top w:w="12" w:type="dxa"/>
              <w:left w:w="12" w:type="dxa"/>
              <w:bottom w:w="0" w:type="dxa"/>
              <w:right w:w="12" w:type="dxa"/>
            </w:tcMar>
            <w:vAlign w:val="center"/>
            <w:hideMark/>
          </w:tcPr>
          <w:p w14:paraId="34B2E2D9"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5.01</w:t>
            </w:r>
          </w:p>
        </w:tc>
        <w:tc>
          <w:tcPr>
            <w:tcW w:w="653" w:type="pct"/>
            <w:tcBorders>
              <w:top w:val="single" w:sz="8" w:space="0" w:color="auto"/>
              <w:left w:val="nil"/>
              <w:bottom w:val="single" w:sz="8" w:space="0" w:color="auto"/>
              <w:right w:val="nil"/>
            </w:tcBorders>
            <w:shd w:val="clear" w:color="auto" w:fill="auto"/>
            <w:tcMar>
              <w:top w:w="12" w:type="dxa"/>
              <w:left w:w="12" w:type="dxa"/>
              <w:bottom w:w="0" w:type="dxa"/>
              <w:right w:w="12" w:type="dxa"/>
            </w:tcMar>
            <w:vAlign w:val="center"/>
            <w:hideMark/>
          </w:tcPr>
          <w:p w14:paraId="4DB56FD4" w14:textId="77777777" w:rsidR="00E8144F" w:rsidRPr="00CA5241" w:rsidRDefault="00E8144F" w:rsidP="00CA5241">
            <w:pPr>
              <w:spacing w:line="240" w:lineRule="auto"/>
              <w:ind w:firstLine="0"/>
              <w:jc w:val="center"/>
              <w:rPr>
                <w:sz w:val="18"/>
                <w:szCs w:val="18"/>
                <w:lang w:val="en-IN"/>
              </w:rPr>
            </w:pPr>
            <w:r w:rsidRPr="00CA5241">
              <w:rPr>
                <w:sz w:val="18"/>
                <w:szCs w:val="18"/>
                <w:lang w:val="en-IN"/>
              </w:rPr>
              <w:t>10.53</w:t>
            </w:r>
          </w:p>
        </w:tc>
      </w:tr>
    </w:tbl>
    <w:p w14:paraId="634678D2" w14:textId="77777777" w:rsidR="00E8144F" w:rsidRPr="005A38C6" w:rsidRDefault="00E8144F" w:rsidP="00E8144F"/>
    <w:p w14:paraId="2195FF09" w14:textId="77777777" w:rsidR="00E8144F" w:rsidRPr="005A38C6" w:rsidRDefault="00E8144F" w:rsidP="00FC6D72">
      <w:pPr>
        <w:ind w:firstLine="0"/>
      </w:pPr>
      <w:r w:rsidRPr="00FC6D72">
        <w:t>The normalized matrix is computed by normalizing the columns of the pairwise comparison matrix through the respective column sums. The vector containing the row-wise average for each risk is the eigenvector or prioritization vector. Risks are then prioritized based on the descending order of values in the eigenvector.</w:t>
      </w:r>
    </w:p>
    <w:p w14:paraId="1265C195" w14:textId="707E8CAE" w:rsidR="00E8144F" w:rsidRPr="00F34A41" w:rsidRDefault="004944C5" w:rsidP="004944C5">
      <w:pPr>
        <w:pStyle w:val="tablecaption"/>
      </w:pPr>
      <w:bookmarkStart w:id="6" w:name="_Ref174487016"/>
      <w:r>
        <w:rPr>
          <w:b/>
        </w:rPr>
        <w:t xml:space="preserve">Table </w:t>
      </w:r>
      <w:r>
        <w:rPr>
          <w:b/>
        </w:rPr>
        <w:fldChar w:fldCharType="begin"/>
      </w:r>
      <w:r>
        <w:rPr>
          <w:b/>
        </w:rPr>
        <w:instrText xml:space="preserve"> SEQ "Table" \* MERGEFORMAT </w:instrText>
      </w:r>
      <w:r>
        <w:rPr>
          <w:b/>
        </w:rPr>
        <w:fldChar w:fldCharType="separate"/>
      </w:r>
      <w:r w:rsidR="007D523A">
        <w:rPr>
          <w:b/>
          <w:noProof/>
        </w:rPr>
        <w:t>2</w:t>
      </w:r>
      <w:r>
        <w:rPr>
          <w:b/>
        </w:rPr>
        <w:fldChar w:fldCharType="end"/>
      </w:r>
      <w:bookmarkEnd w:id="6"/>
      <w:r>
        <w:rPr>
          <w:b/>
        </w:rPr>
        <w:t>.</w:t>
      </w:r>
      <w:r>
        <w:t xml:space="preserve"> </w:t>
      </w:r>
      <w:r w:rsidR="00E8144F" w:rsidRPr="004944C5">
        <w:t>Normalized</w:t>
      </w:r>
      <w:r w:rsidR="00E8144F" w:rsidRPr="00F34A41">
        <w:t xml:space="preserve"> matrix for feasibility study </w:t>
      </w:r>
      <w:r w:rsidR="00E8144F">
        <w:t xml:space="preserve">and design </w:t>
      </w:r>
      <w:r w:rsidR="00E8144F" w:rsidRPr="00F34A41">
        <w:t xml:space="preserve">sector </w:t>
      </w:r>
    </w:p>
    <w:tbl>
      <w:tblPr>
        <w:tblW w:w="5000" w:type="pct"/>
        <w:tblCellMar>
          <w:left w:w="0" w:type="dxa"/>
          <w:right w:w="0" w:type="dxa"/>
        </w:tblCellMar>
        <w:tblLook w:val="0600" w:firstRow="0" w:lastRow="0" w:firstColumn="0" w:lastColumn="0" w:noHBand="1" w:noVBand="1"/>
      </w:tblPr>
      <w:tblGrid>
        <w:gridCol w:w="553"/>
        <w:gridCol w:w="909"/>
        <w:gridCol w:w="910"/>
        <w:gridCol w:w="909"/>
        <w:gridCol w:w="910"/>
        <w:gridCol w:w="909"/>
        <w:gridCol w:w="910"/>
        <w:gridCol w:w="908"/>
      </w:tblGrid>
      <w:tr w:rsidR="00E8144F" w:rsidRPr="005D10DD" w14:paraId="3BBC248A" w14:textId="77777777" w:rsidTr="00CA5241">
        <w:trPr>
          <w:trHeight w:val="20"/>
        </w:trPr>
        <w:tc>
          <w:tcPr>
            <w:tcW w:w="399" w:type="pct"/>
            <w:tcBorders>
              <w:top w:val="single" w:sz="12" w:space="0" w:color="000000"/>
              <w:left w:val="nil"/>
              <w:bottom w:val="single" w:sz="8" w:space="0" w:color="auto"/>
              <w:right w:val="nil"/>
            </w:tcBorders>
            <w:shd w:val="clear" w:color="auto" w:fill="auto"/>
            <w:tcMar>
              <w:top w:w="12" w:type="dxa"/>
              <w:left w:w="12" w:type="dxa"/>
              <w:bottom w:w="0" w:type="dxa"/>
              <w:right w:w="12" w:type="dxa"/>
            </w:tcMar>
            <w:vAlign w:val="center"/>
            <w:hideMark/>
          </w:tcPr>
          <w:p w14:paraId="64C02547" w14:textId="77777777" w:rsidR="00E8144F" w:rsidRPr="005D10DD" w:rsidRDefault="00E8144F" w:rsidP="00CA5241">
            <w:pPr>
              <w:spacing w:line="240" w:lineRule="auto"/>
              <w:ind w:firstLine="0"/>
              <w:rPr>
                <w:sz w:val="18"/>
                <w:szCs w:val="18"/>
                <w:lang w:val="en-IN"/>
              </w:rPr>
            </w:pPr>
            <w:r w:rsidRPr="005D10DD">
              <w:rPr>
                <w:sz w:val="18"/>
                <w:szCs w:val="18"/>
                <w:lang w:val="en-IN"/>
              </w:rPr>
              <w:t>Risks</w:t>
            </w:r>
          </w:p>
        </w:tc>
        <w:tc>
          <w:tcPr>
            <w:tcW w:w="657" w:type="pct"/>
            <w:tcBorders>
              <w:top w:val="single" w:sz="12" w:space="0" w:color="000000"/>
              <w:left w:val="nil"/>
              <w:bottom w:val="single" w:sz="8" w:space="0" w:color="auto"/>
              <w:right w:val="nil"/>
            </w:tcBorders>
            <w:shd w:val="clear" w:color="auto" w:fill="auto"/>
            <w:tcMar>
              <w:top w:w="12" w:type="dxa"/>
              <w:left w:w="12" w:type="dxa"/>
              <w:bottom w:w="0" w:type="dxa"/>
              <w:right w:w="12" w:type="dxa"/>
            </w:tcMar>
            <w:vAlign w:val="center"/>
            <w:hideMark/>
          </w:tcPr>
          <w:p w14:paraId="3A62FED1"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Risk 1</w:t>
            </w:r>
          </w:p>
        </w:tc>
        <w:tc>
          <w:tcPr>
            <w:tcW w:w="658" w:type="pct"/>
            <w:tcBorders>
              <w:top w:val="single" w:sz="12" w:space="0" w:color="000000"/>
              <w:left w:val="nil"/>
              <w:bottom w:val="single" w:sz="8" w:space="0" w:color="auto"/>
              <w:right w:val="nil"/>
            </w:tcBorders>
            <w:shd w:val="clear" w:color="auto" w:fill="auto"/>
            <w:tcMar>
              <w:top w:w="12" w:type="dxa"/>
              <w:left w:w="12" w:type="dxa"/>
              <w:bottom w:w="0" w:type="dxa"/>
              <w:right w:w="12" w:type="dxa"/>
            </w:tcMar>
            <w:vAlign w:val="center"/>
            <w:hideMark/>
          </w:tcPr>
          <w:p w14:paraId="02D67298"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Risk 2</w:t>
            </w:r>
          </w:p>
        </w:tc>
        <w:tc>
          <w:tcPr>
            <w:tcW w:w="657" w:type="pct"/>
            <w:tcBorders>
              <w:top w:val="single" w:sz="12" w:space="0" w:color="000000"/>
              <w:left w:val="nil"/>
              <w:bottom w:val="single" w:sz="8" w:space="0" w:color="auto"/>
              <w:right w:val="nil"/>
            </w:tcBorders>
            <w:shd w:val="clear" w:color="auto" w:fill="auto"/>
            <w:tcMar>
              <w:top w:w="12" w:type="dxa"/>
              <w:left w:w="12" w:type="dxa"/>
              <w:bottom w:w="0" w:type="dxa"/>
              <w:right w:w="12" w:type="dxa"/>
            </w:tcMar>
            <w:vAlign w:val="center"/>
            <w:hideMark/>
          </w:tcPr>
          <w:p w14:paraId="77F6DC73"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Risk 3</w:t>
            </w:r>
          </w:p>
        </w:tc>
        <w:tc>
          <w:tcPr>
            <w:tcW w:w="658" w:type="pct"/>
            <w:tcBorders>
              <w:top w:val="single" w:sz="12" w:space="0" w:color="000000"/>
              <w:left w:val="nil"/>
              <w:bottom w:val="single" w:sz="8" w:space="0" w:color="auto"/>
              <w:right w:val="nil"/>
            </w:tcBorders>
            <w:shd w:val="clear" w:color="auto" w:fill="auto"/>
            <w:tcMar>
              <w:top w:w="12" w:type="dxa"/>
              <w:left w:w="12" w:type="dxa"/>
              <w:bottom w:w="0" w:type="dxa"/>
              <w:right w:w="12" w:type="dxa"/>
            </w:tcMar>
            <w:vAlign w:val="center"/>
            <w:hideMark/>
          </w:tcPr>
          <w:p w14:paraId="54742090"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Risk 4</w:t>
            </w:r>
          </w:p>
        </w:tc>
        <w:tc>
          <w:tcPr>
            <w:tcW w:w="657" w:type="pct"/>
            <w:tcBorders>
              <w:top w:val="single" w:sz="12" w:space="0" w:color="000000"/>
              <w:left w:val="nil"/>
              <w:bottom w:val="single" w:sz="8" w:space="0" w:color="auto"/>
              <w:right w:val="nil"/>
            </w:tcBorders>
            <w:shd w:val="clear" w:color="auto" w:fill="auto"/>
            <w:tcMar>
              <w:top w:w="12" w:type="dxa"/>
              <w:left w:w="12" w:type="dxa"/>
              <w:bottom w:w="0" w:type="dxa"/>
              <w:right w:w="12" w:type="dxa"/>
            </w:tcMar>
            <w:vAlign w:val="center"/>
            <w:hideMark/>
          </w:tcPr>
          <w:p w14:paraId="06121DBE"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Risk 5</w:t>
            </w:r>
          </w:p>
        </w:tc>
        <w:tc>
          <w:tcPr>
            <w:tcW w:w="658" w:type="pct"/>
            <w:tcBorders>
              <w:top w:val="single" w:sz="12" w:space="0" w:color="000000"/>
              <w:left w:val="nil"/>
              <w:bottom w:val="single" w:sz="8" w:space="0" w:color="auto"/>
              <w:right w:val="nil"/>
            </w:tcBorders>
            <w:shd w:val="clear" w:color="auto" w:fill="auto"/>
            <w:tcMar>
              <w:top w:w="12" w:type="dxa"/>
              <w:left w:w="12" w:type="dxa"/>
              <w:bottom w:w="0" w:type="dxa"/>
              <w:right w:w="12" w:type="dxa"/>
            </w:tcMar>
            <w:vAlign w:val="center"/>
            <w:hideMark/>
          </w:tcPr>
          <w:p w14:paraId="000BA4F2"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Risk 6</w:t>
            </w:r>
          </w:p>
        </w:tc>
        <w:tc>
          <w:tcPr>
            <w:tcW w:w="656" w:type="pct"/>
            <w:tcBorders>
              <w:top w:val="single" w:sz="12" w:space="0" w:color="000000"/>
              <w:left w:val="nil"/>
              <w:bottom w:val="single" w:sz="8" w:space="0" w:color="auto"/>
              <w:right w:val="nil"/>
            </w:tcBorders>
            <w:shd w:val="clear" w:color="auto" w:fill="auto"/>
            <w:tcMar>
              <w:top w:w="12" w:type="dxa"/>
              <w:left w:w="12" w:type="dxa"/>
              <w:bottom w:w="0" w:type="dxa"/>
              <w:right w:w="12" w:type="dxa"/>
            </w:tcMar>
            <w:vAlign w:val="center"/>
            <w:hideMark/>
          </w:tcPr>
          <w:p w14:paraId="59C37DC0" w14:textId="77777777" w:rsidR="00E8144F" w:rsidRPr="005D10DD" w:rsidRDefault="00E8144F" w:rsidP="00CA5241">
            <w:pPr>
              <w:spacing w:line="240" w:lineRule="auto"/>
              <w:ind w:firstLine="0"/>
              <w:jc w:val="center"/>
              <w:rPr>
                <w:sz w:val="18"/>
                <w:szCs w:val="18"/>
                <w:lang w:val="en-IN"/>
              </w:rPr>
            </w:pPr>
            <w:r w:rsidRPr="005D10DD">
              <w:rPr>
                <w:bCs/>
                <w:sz w:val="18"/>
                <w:szCs w:val="18"/>
              </w:rPr>
              <w:t>Eigen</w:t>
            </w:r>
            <w:r w:rsidR="005D10DD">
              <w:rPr>
                <w:bCs/>
                <w:sz w:val="18"/>
                <w:szCs w:val="18"/>
              </w:rPr>
              <w:t>v</w:t>
            </w:r>
            <w:r w:rsidRPr="005D10DD">
              <w:rPr>
                <w:bCs/>
                <w:sz w:val="18"/>
                <w:szCs w:val="18"/>
              </w:rPr>
              <w:t>ector</w:t>
            </w:r>
          </w:p>
        </w:tc>
      </w:tr>
      <w:tr w:rsidR="00E8144F" w:rsidRPr="005D10DD" w14:paraId="7E117AF0" w14:textId="77777777" w:rsidTr="00CA5241">
        <w:trPr>
          <w:trHeight w:val="20"/>
        </w:trPr>
        <w:tc>
          <w:tcPr>
            <w:tcW w:w="399" w:type="pct"/>
            <w:tcBorders>
              <w:top w:val="single" w:sz="8" w:space="0" w:color="auto"/>
              <w:left w:val="nil"/>
              <w:bottom w:val="nil"/>
              <w:right w:val="nil"/>
            </w:tcBorders>
            <w:shd w:val="clear" w:color="auto" w:fill="auto"/>
            <w:tcMar>
              <w:top w:w="12" w:type="dxa"/>
              <w:left w:w="12" w:type="dxa"/>
              <w:bottom w:w="0" w:type="dxa"/>
              <w:right w:w="12" w:type="dxa"/>
            </w:tcMar>
            <w:vAlign w:val="center"/>
            <w:hideMark/>
          </w:tcPr>
          <w:p w14:paraId="3BD297ED"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Risk 1</w:t>
            </w:r>
          </w:p>
        </w:tc>
        <w:tc>
          <w:tcPr>
            <w:tcW w:w="657" w:type="pct"/>
            <w:tcBorders>
              <w:top w:val="single" w:sz="8" w:space="0" w:color="auto"/>
              <w:left w:val="nil"/>
              <w:bottom w:val="nil"/>
              <w:right w:val="nil"/>
            </w:tcBorders>
            <w:shd w:val="clear" w:color="auto" w:fill="auto"/>
            <w:tcMar>
              <w:top w:w="12" w:type="dxa"/>
              <w:left w:w="12" w:type="dxa"/>
              <w:bottom w:w="0" w:type="dxa"/>
              <w:right w:w="12" w:type="dxa"/>
            </w:tcMar>
            <w:vAlign w:val="center"/>
            <w:hideMark/>
          </w:tcPr>
          <w:p w14:paraId="191B381D"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0.45</w:t>
            </w:r>
          </w:p>
        </w:tc>
        <w:tc>
          <w:tcPr>
            <w:tcW w:w="658" w:type="pct"/>
            <w:tcBorders>
              <w:top w:val="single" w:sz="8" w:space="0" w:color="auto"/>
              <w:left w:val="nil"/>
              <w:bottom w:val="nil"/>
              <w:right w:val="nil"/>
            </w:tcBorders>
            <w:shd w:val="clear" w:color="auto" w:fill="auto"/>
            <w:tcMar>
              <w:top w:w="12" w:type="dxa"/>
              <w:left w:w="12" w:type="dxa"/>
              <w:bottom w:w="0" w:type="dxa"/>
              <w:right w:w="12" w:type="dxa"/>
            </w:tcMar>
            <w:vAlign w:val="center"/>
            <w:hideMark/>
          </w:tcPr>
          <w:p w14:paraId="44448248"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0.35</w:t>
            </w:r>
          </w:p>
        </w:tc>
        <w:tc>
          <w:tcPr>
            <w:tcW w:w="657" w:type="pct"/>
            <w:tcBorders>
              <w:top w:val="single" w:sz="8" w:space="0" w:color="auto"/>
              <w:left w:val="nil"/>
              <w:bottom w:val="nil"/>
              <w:right w:val="nil"/>
            </w:tcBorders>
            <w:shd w:val="clear" w:color="auto" w:fill="auto"/>
            <w:tcMar>
              <w:top w:w="12" w:type="dxa"/>
              <w:left w:w="12" w:type="dxa"/>
              <w:bottom w:w="0" w:type="dxa"/>
              <w:right w:w="12" w:type="dxa"/>
            </w:tcMar>
            <w:vAlign w:val="center"/>
            <w:hideMark/>
          </w:tcPr>
          <w:p w14:paraId="1346E484"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0.29</w:t>
            </w:r>
          </w:p>
        </w:tc>
        <w:tc>
          <w:tcPr>
            <w:tcW w:w="658" w:type="pct"/>
            <w:tcBorders>
              <w:top w:val="single" w:sz="8" w:space="0" w:color="auto"/>
              <w:left w:val="nil"/>
              <w:bottom w:val="nil"/>
              <w:right w:val="nil"/>
            </w:tcBorders>
            <w:shd w:val="clear" w:color="auto" w:fill="auto"/>
            <w:tcMar>
              <w:top w:w="12" w:type="dxa"/>
              <w:left w:w="12" w:type="dxa"/>
              <w:bottom w:w="0" w:type="dxa"/>
              <w:right w:w="12" w:type="dxa"/>
            </w:tcMar>
            <w:vAlign w:val="center"/>
            <w:hideMark/>
          </w:tcPr>
          <w:p w14:paraId="21B9660F"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0.25</w:t>
            </w:r>
          </w:p>
        </w:tc>
        <w:tc>
          <w:tcPr>
            <w:tcW w:w="657" w:type="pct"/>
            <w:tcBorders>
              <w:top w:val="single" w:sz="8" w:space="0" w:color="auto"/>
              <w:left w:val="nil"/>
              <w:bottom w:val="nil"/>
              <w:right w:val="nil"/>
            </w:tcBorders>
            <w:shd w:val="clear" w:color="auto" w:fill="auto"/>
            <w:tcMar>
              <w:top w:w="12" w:type="dxa"/>
              <w:left w:w="12" w:type="dxa"/>
              <w:bottom w:w="0" w:type="dxa"/>
              <w:right w:w="12" w:type="dxa"/>
            </w:tcMar>
            <w:vAlign w:val="center"/>
            <w:hideMark/>
          </w:tcPr>
          <w:p w14:paraId="608D1993"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0.60</w:t>
            </w:r>
          </w:p>
        </w:tc>
        <w:tc>
          <w:tcPr>
            <w:tcW w:w="658" w:type="pct"/>
            <w:tcBorders>
              <w:top w:val="single" w:sz="8" w:space="0" w:color="auto"/>
              <w:left w:val="nil"/>
              <w:bottom w:val="nil"/>
              <w:right w:val="nil"/>
            </w:tcBorders>
            <w:shd w:val="clear" w:color="auto" w:fill="auto"/>
            <w:tcMar>
              <w:top w:w="12" w:type="dxa"/>
              <w:left w:w="12" w:type="dxa"/>
              <w:bottom w:w="0" w:type="dxa"/>
              <w:right w:w="12" w:type="dxa"/>
            </w:tcMar>
            <w:vAlign w:val="center"/>
            <w:hideMark/>
          </w:tcPr>
          <w:p w14:paraId="201B0B39"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0.47</w:t>
            </w:r>
          </w:p>
        </w:tc>
        <w:tc>
          <w:tcPr>
            <w:tcW w:w="656" w:type="pct"/>
            <w:tcBorders>
              <w:top w:val="single" w:sz="8" w:space="0" w:color="auto"/>
              <w:left w:val="nil"/>
              <w:bottom w:val="nil"/>
              <w:right w:val="nil"/>
            </w:tcBorders>
            <w:shd w:val="clear" w:color="auto" w:fill="DEEBF7"/>
            <w:tcMar>
              <w:top w:w="12" w:type="dxa"/>
              <w:left w:w="12" w:type="dxa"/>
              <w:bottom w:w="0" w:type="dxa"/>
              <w:right w:w="12" w:type="dxa"/>
            </w:tcMar>
            <w:vAlign w:val="center"/>
            <w:hideMark/>
          </w:tcPr>
          <w:p w14:paraId="488A55FC"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0.40</w:t>
            </w:r>
          </w:p>
        </w:tc>
      </w:tr>
      <w:tr w:rsidR="00E8144F" w:rsidRPr="005D10DD" w14:paraId="6CCAD54C" w14:textId="77777777" w:rsidTr="00CA5241">
        <w:trPr>
          <w:trHeight w:val="20"/>
        </w:trPr>
        <w:tc>
          <w:tcPr>
            <w:tcW w:w="399" w:type="pct"/>
            <w:tcBorders>
              <w:top w:val="nil"/>
              <w:left w:val="nil"/>
              <w:bottom w:val="nil"/>
              <w:right w:val="nil"/>
            </w:tcBorders>
            <w:shd w:val="clear" w:color="auto" w:fill="auto"/>
            <w:tcMar>
              <w:top w:w="12" w:type="dxa"/>
              <w:left w:w="12" w:type="dxa"/>
              <w:bottom w:w="0" w:type="dxa"/>
              <w:right w:w="12" w:type="dxa"/>
            </w:tcMar>
            <w:vAlign w:val="center"/>
            <w:hideMark/>
          </w:tcPr>
          <w:p w14:paraId="7FA63395"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Risk 2</w:t>
            </w:r>
          </w:p>
        </w:tc>
        <w:tc>
          <w:tcPr>
            <w:tcW w:w="657" w:type="pct"/>
            <w:tcBorders>
              <w:top w:val="nil"/>
              <w:left w:val="nil"/>
              <w:bottom w:val="nil"/>
              <w:right w:val="nil"/>
            </w:tcBorders>
            <w:shd w:val="clear" w:color="auto" w:fill="auto"/>
            <w:tcMar>
              <w:top w:w="12" w:type="dxa"/>
              <w:left w:w="12" w:type="dxa"/>
              <w:bottom w:w="0" w:type="dxa"/>
              <w:right w:w="12" w:type="dxa"/>
            </w:tcMar>
            <w:vAlign w:val="center"/>
            <w:hideMark/>
          </w:tcPr>
          <w:p w14:paraId="2615D8A3"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0.15</w:t>
            </w:r>
          </w:p>
        </w:tc>
        <w:tc>
          <w:tcPr>
            <w:tcW w:w="658" w:type="pct"/>
            <w:tcBorders>
              <w:top w:val="nil"/>
              <w:left w:val="nil"/>
              <w:bottom w:val="nil"/>
              <w:right w:val="nil"/>
            </w:tcBorders>
            <w:shd w:val="clear" w:color="auto" w:fill="auto"/>
            <w:tcMar>
              <w:top w:w="12" w:type="dxa"/>
              <w:left w:w="12" w:type="dxa"/>
              <w:bottom w:w="0" w:type="dxa"/>
              <w:right w:w="12" w:type="dxa"/>
            </w:tcMar>
            <w:vAlign w:val="center"/>
            <w:hideMark/>
          </w:tcPr>
          <w:p w14:paraId="2F24A248"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0.12</w:t>
            </w:r>
          </w:p>
        </w:tc>
        <w:tc>
          <w:tcPr>
            <w:tcW w:w="657" w:type="pct"/>
            <w:tcBorders>
              <w:top w:val="nil"/>
              <w:left w:val="nil"/>
              <w:bottom w:val="nil"/>
              <w:right w:val="nil"/>
            </w:tcBorders>
            <w:shd w:val="clear" w:color="auto" w:fill="auto"/>
            <w:tcMar>
              <w:top w:w="12" w:type="dxa"/>
              <w:left w:w="12" w:type="dxa"/>
              <w:bottom w:w="0" w:type="dxa"/>
              <w:right w:w="12" w:type="dxa"/>
            </w:tcMar>
            <w:vAlign w:val="center"/>
            <w:hideMark/>
          </w:tcPr>
          <w:p w14:paraId="2B727F6C"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0.17</w:t>
            </w:r>
          </w:p>
        </w:tc>
        <w:tc>
          <w:tcPr>
            <w:tcW w:w="658" w:type="pct"/>
            <w:tcBorders>
              <w:top w:val="nil"/>
              <w:left w:val="nil"/>
              <w:bottom w:val="nil"/>
              <w:right w:val="nil"/>
            </w:tcBorders>
            <w:shd w:val="clear" w:color="auto" w:fill="auto"/>
            <w:tcMar>
              <w:top w:w="12" w:type="dxa"/>
              <w:left w:w="12" w:type="dxa"/>
              <w:bottom w:w="0" w:type="dxa"/>
              <w:right w:w="12" w:type="dxa"/>
            </w:tcMar>
            <w:vAlign w:val="center"/>
            <w:hideMark/>
          </w:tcPr>
          <w:p w14:paraId="628F0ED9"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0.18</w:t>
            </w:r>
          </w:p>
        </w:tc>
        <w:tc>
          <w:tcPr>
            <w:tcW w:w="657" w:type="pct"/>
            <w:tcBorders>
              <w:top w:val="nil"/>
              <w:left w:val="nil"/>
              <w:bottom w:val="nil"/>
              <w:right w:val="nil"/>
            </w:tcBorders>
            <w:shd w:val="clear" w:color="auto" w:fill="auto"/>
            <w:tcMar>
              <w:top w:w="12" w:type="dxa"/>
              <w:left w:w="12" w:type="dxa"/>
              <w:bottom w:w="0" w:type="dxa"/>
              <w:right w:w="12" w:type="dxa"/>
            </w:tcMar>
            <w:vAlign w:val="center"/>
            <w:hideMark/>
          </w:tcPr>
          <w:p w14:paraId="25399903"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0.07</w:t>
            </w:r>
          </w:p>
        </w:tc>
        <w:tc>
          <w:tcPr>
            <w:tcW w:w="658" w:type="pct"/>
            <w:tcBorders>
              <w:top w:val="nil"/>
              <w:left w:val="nil"/>
              <w:bottom w:val="nil"/>
              <w:right w:val="nil"/>
            </w:tcBorders>
            <w:shd w:val="clear" w:color="auto" w:fill="auto"/>
            <w:tcMar>
              <w:top w:w="12" w:type="dxa"/>
              <w:left w:w="12" w:type="dxa"/>
              <w:bottom w:w="0" w:type="dxa"/>
              <w:right w:w="12" w:type="dxa"/>
            </w:tcMar>
            <w:vAlign w:val="center"/>
            <w:hideMark/>
          </w:tcPr>
          <w:p w14:paraId="2DAFDD6F"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0.09</w:t>
            </w:r>
          </w:p>
        </w:tc>
        <w:tc>
          <w:tcPr>
            <w:tcW w:w="656" w:type="pct"/>
            <w:tcBorders>
              <w:top w:val="nil"/>
              <w:left w:val="nil"/>
              <w:bottom w:val="nil"/>
              <w:right w:val="nil"/>
            </w:tcBorders>
            <w:shd w:val="clear" w:color="auto" w:fill="DEEBF7"/>
            <w:tcMar>
              <w:top w:w="12" w:type="dxa"/>
              <w:left w:w="12" w:type="dxa"/>
              <w:bottom w:w="0" w:type="dxa"/>
              <w:right w:w="12" w:type="dxa"/>
            </w:tcMar>
            <w:vAlign w:val="center"/>
            <w:hideMark/>
          </w:tcPr>
          <w:p w14:paraId="4ECEC0E4"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0.13</w:t>
            </w:r>
          </w:p>
        </w:tc>
      </w:tr>
      <w:tr w:rsidR="00E8144F" w:rsidRPr="005D10DD" w14:paraId="511A35B6" w14:textId="77777777" w:rsidTr="00CA5241">
        <w:trPr>
          <w:trHeight w:val="20"/>
        </w:trPr>
        <w:tc>
          <w:tcPr>
            <w:tcW w:w="399" w:type="pct"/>
            <w:tcBorders>
              <w:top w:val="nil"/>
              <w:left w:val="nil"/>
              <w:bottom w:val="nil"/>
              <w:right w:val="nil"/>
            </w:tcBorders>
            <w:shd w:val="clear" w:color="auto" w:fill="auto"/>
            <w:tcMar>
              <w:top w:w="12" w:type="dxa"/>
              <w:left w:w="12" w:type="dxa"/>
              <w:bottom w:w="0" w:type="dxa"/>
              <w:right w:w="12" w:type="dxa"/>
            </w:tcMar>
            <w:vAlign w:val="center"/>
            <w:hideMark/>
          </w:tcPr>
          <w:p w14:paraId="3C65C915"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Risk 3</w:t>
            </w:r>
          </w:p>
        </w:tc>
        <w:tc>
          <w:tcPr>
            <w:tcW w:w="657" w:type="pct"/>
            <w:tcBorders>
              <w:top w:val="nil"/>
              <w:left w:val="nil"/>
              <w:bottom w:val="nil"/>
              <w:right w:val="nil"/>
            </w:tcBorders>
            <w:shd w:val="clear" w:color="auto" w:fill="auto"/>
            <w:tcMar>
              <w:top w:w="12" w:type="dxa"/>
              <w:left w:w="12" w:type="dxa"/>
              <w:bottom w:w="0" w:type="dxa"/>
              <w:right w:w="12" w:type="dxa"/>
            </w:tcMar>
            <w:vAlign w:val="center"/>
            <w:hideMark/>
          </w:tcPr>
          <w:p w14:paraId="27E009DD"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0.09</w:t>
            </w:r>
          </w:p>
        </w:tc>
        <w:tc>
          <w:tcPr>
            <w:tcW w:w="658" w:type="pct"/>
            <w:tcBorders>
              <w:top w:val="nil"/>
              <w:left w:val="nil"/>
              <w:bottom w:val="nil"/>
              <w:right w:val="nil"/>
            </w:tcBorders>
            <w:shd w:val="clear" w:color="auto" w:fill="auto"/>
            <w:tcMar>
              <w:top w:w="12" w:type="dxa"/>
              <w:left w:w="12" w:type="dxa"/>
              <w:bottom w:w="0" w:type="dxa"/>
              <w:right w:w="12" w:type="dxa"/>
            </w:tcMar>
            <w:vAlign w:val="center"/>
            <w:hideMark/>
          </w:tcPr>
          <w:p w14:paraId="58E737F4"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0.04</w:t>
            </w:r>
          </w:p>
        </w:tc>
        <w:tc>
          <w:tcPr>
            <w:tcW w:w="657" w:type="pct"/>
            <w:tcBorders>
              <w:top w:val="nil"/>
              <w:left w:val="nil"/>
              <w:bottom w:val="nil"/>
              <w:right w:val="nil"/>
            </w:tcBorders>
            <w:shd w:val="clear" w:color="auto" w:fill="auto"/>
            <w:tcMar>
              <w:top w:w="12" w:type="dxa"/>
              <w:left w:w="12" w:type="dxa"/>
              <w:bottom w:w="0" w:type="dxa"/>
              <w:right w:w="12" w:type="dxa"/>
            </w:tcMar>
            <w:vAlign w:val="center"/>
            <w:hideMark/>
          </w:tcPr>
          <w:p w14:paraId="395A6F39"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0.06</w:t>
            </w:r>
          </w:p>
        </w:tc>
        <w:tc>
          <w:tcPr>
            <w:tcW w:w="658" w:type="pct"/>
            <w:tcBorders>
              <w:top w:val="nil"/>
              <w:left w:val="nil"/>
              <w:bottom w:val="nil"/>
              <w:right w:val="nil"/>
            </w:tcBorders>
            <w:shd w:val="clear" w:color="auto" w:fill="auto"/>
            <w:tcMar>
              <w:top w:w="12" w:type="dxa"/>
              <w:left w:w="12" w:type="dxa"/>
              <w:bottom w:w="0" w:type="dxa"/>
              <w:right w:w="12" w:type="dxa"/>
            </w:tcMar>
            <w:vAlign w:val="center"/>
            <w:hideMark/>
          </w:tcPr>
          <w:p w14:paraId="5D69A08B"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0.11</w:t>
            </w:r>
          </w:p>
        </w:tc>
        <w:tc>
          <w:tcPr>
            <w:tcW w:w="657" w:type="pct"/>
            <w:tcBorders>
              <w:top w:val="nil"/>
              <w:left w:val="nil"/>
              <w:bottom w:val="nil"/>
              <w:right w:val="nil"/>
            </w:tcBorders>
            <w:shd w:val="clear" w:color="auto" w:fill="auto"/>
            <w:tcMar>
              <w:top w:w="12" w:type="dxa"/>
              <w:left w:w="12" w:type="dxa"/>
              <w:bottom w:w="0" w:type="dxa"/>
              <w:right w:w="12" w:type="dxa"/>
            </w:tcMar>
            <w:vAlign w:val="center"/>
            <w:hideMark/>
          </w:tcPr>
          <w:p w14:paraId="3840CF3C"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0.04</w:t>
            </w:r>
          </w:p>
        </w:tc>
        <w:tc>
          <w:tcPr>
            <w:tcW w:w="658" w:type="pct"/>
            <w:tcBorders>
              <w:top w:val="nil"/>
              <w:left w:val="nil"/>
              <w:bottom w:val="nil"/>
              <w:right w:val="nil"/>
            </w:tcBorders>
            <w:shd w:val="clear" w:color="auto" w:fill="auto"/>
            <w:tcMar>
              <w:top w:w="12" w:type="dxa"/>
              <w:left w:w="12" w:type="dxa"/>
              <w:bottom w:w="0" w:type="dxa"/>
              <w:right w:w="12" w:type="dxa"/>
            </w:tcMar>
            <w:vAlign w:val="center"/>
            <w:hideMark/>
          </w:tcPr>
          <w:p w14:paraId="295B095D"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0.03</w:t>
            </w:r>
          </w:p>
        </w:tc>
        <w:tc>
          <w:tcPr>
            <w:tcW w:w="656" w:type="pct"/>
            <w:tcBorders>
              <w:top w:val="nil"/>
              <w:left w:val="nil"/>
              <w:bottom w:val="nil"/>
              <w:right w:val="nil"/>
            </w:tcBorders>
            <w:shd w:val="clear" w:color="auto" w:fill="DEEBF7"/>
            <w:tcMar>
              <w:top w:w="12" w:type="dxa"/>
              <w:left w:w="12" w:type="dxa"/>
              <w:bottom w:w="0" w:type="dxa"/>
              <w:right w:w="12" w:type="dxa"/>
            </w:tcMar>
            <w:vAlign w:val="center"/>
            <w:hideMark/>
          </w:tcPr>
          <w:p w14:paraId="24830316"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0.06</w:t>
            </w:r>
          </w:p>
        </w:tc>
      </w:tr>
      <w:tr w:rsidR="00E8144F" w:rsidRPr="005D10DD" w14:paraId="206E661C" w14:textId="77777777" w:rsidTr="00CA5241">
        <w:trPr>
          <w:trHeight w:val="20"/>
        </w:trPr>
        <w:tc>
          <w:tcPr>
            <w:tcW w:w="399" w:type="pct"/>
            <w:tcBorders>
              <w:top w:val="nil"/>
              <w:left w:val="nil"/>
              <w:bottom w:val="nil"/>
              <w:right w:val="nil"/>
            </w:tcBorders>
            <w:shd w:val="clear" w:color="auto" w:fill="auto"/>
            <w:tcMar>
              <w:top w:w="12" w:type="dxa"/>
              <w:left w:w="12" w:type="dxa"/>
              <w:bottom w:w="0" w:type="dxa"/>
              <w:right w:w="12" w:type="dxa"/>
            </w:tcMar>
            <w:vAlign w:val="center"/>
            <w:hideMark/>
          </w:tcPr>
          <w:p w14:paraId="758B7555"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Risk 4</w:t>
            </w:r>
          </w:p>
        </w:tc>
        <w:tc>
          <w:tcPr>
            <w:tcW w:w="657" w:type="pct"/>
            <w:tcBorders>
              <w:top w:val="nil"/>
              <w:left w:val="nil"/>
              <w:bottom w:val="nil"/>
              <w:right w:val="nil"/>
            </w:tcBorders>
            <w:shd w:val="clear" w:color="auto" w:fill="auto"/>
            <w:tcMar>
              <w:top w:w="12" w:type="dxa"/>
              <w:left w:w="12" w:type="dxa"/>
              <w:bottom w:w="0" w:type="dxa"/>
              <w:right w:w="12" w:type="dxa"/>
            </w:tcMar>
            <w:vAlign w:val="center"/>
            <w:hideMark/>
          </w:tcPr>
          <w:p w14:paraId="02214581"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0.06</w:t>
            </w:r>
          </w:p>
        </w:tc>
        <w:tc>
          <w:tcPr>
            <w:tcW w:w="658" w:type="pct"/>
            <w:tcBorders>
              <w:top w:val="nil"/>
              <w:left w:val="nil"/>
              <w:bottom w:val="nil"/>
              <w:right w:val="nil"/>
            </w:tcBorders>
            <w:shd w:val="clear" w:color="auto" w:fill="auto"/>
            <w:tcMar>
              <w:top w:w="12" w:type="dxa"/>
              <w:left w:w="12" w:type="dxa"/>
              <w:bottom w:w="0" w:type="dxa"/>
              <w:right w:w="12" w:type="dxa"/>
            </w:tcMar>
            <w:vAlign w:val="center"/>
            <w:hideMark/>
          </w:tcPr>
          <w:p w14:paraId="517410A6"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0.02</w:t>
            </w:r>
          </w:p>
        </w:tc>
        <w:tc>
          <w:tcPr>
            <w:tcW w:w="657" w:type="pct"/>
            <w:tcBorders>
              <w:top w:val="nil"/>
              <w:left w:val="nil"/>
              <w:bottom w:val="nil"/>
              <w:right w:val="nil"/>
            </w:tcBorders>
            <w:shd w:val="clear" w:color="auto" w:fill="auto"/>
            <w:tcMar>
              <w:top w:w="12" w:type="dxa"/>
              <w:left w:w="12" w:type="dxa"/>
              <w:bottom w:w="0" w:type="dxa"/>
              <w:right w:w="12" w:type="dxa"/>
            </w:tcMar>
            <w:vAlign w:val="center"/>
            <w:hideMark/>
          </w:tcPr>
          <w:p w14:paraId="6CAF7F47"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0.02</w:t>
            </w:r>
          </w:p>
        </w:tc>
        <w:tc>
          <w:tcPr>
            <w:tcW w:w="658" w:type="pct"/>
            <w:tcBorders>
              <w:top w:val="nil"/>
              <w:left w:val="nil"/>
              <w:bottom w:val="nil"/>
              <w:right w:val="nil"/>
            </w:tcBorders>
            <w:shd w:val="clear" w:color="auto" w:fill="auto"/>
            <w:tcMar>
              <w:top w:w="12" w:type="dxa"/>
              <w:left w:w="12" w:type="dxa"/>
              <w:bottom w:w="0" w:type="dxa"/>
              <w:right w:w="12" w:type="dxa"/>
            </w:tcMar>
            <w:vAlign w:val="center"/>
            <w:hideMark/>
          </w:tcPr>
          <w:p w14:paraId="23B2C8DF"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0.04</w:t>
            </w:r>
          </w:p>
        </w:tc>
        <w:tc>
          <w:tcPr>
            <w:tcW w:w="657" w:type="pct"/>
            <w:tcBorders>
              <w:top w:val="nil"/>
              <w:left w:val="nil"/>
              <w:bottom w:val="nil"/>
              <w:right w:val="nil"/>
            </w:tcBorders>
            <w:shd w:val="clear" w:color="auto" w:fill="auto"/>
            <w:tcMar>
              <w:top w:w="12" w:type="dxa"/>
              <w:left w:w="12" w:type="dxa"/>
              <w:bottom w:w="0" w:type="dxa"/>
              <w:right w:w="12" w:type="dxa"/>
            </w:tcMar>
            <w:vAlign w:val="center"/>
            <w:hideMark/>
          </w:tcPr>
          <w:p w14:paraId="1CD0D314"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0.03</w:t>
            </w:r>
          </w:p>
        </w:tc>
        <w:tc>
          <w:tcPr>
            <w:tcW w:w="658" w:type="pct"/>
            <w:tcBorders>
              <w:top w:val="nil"/>
              <w:left w:val="nil"/>
              <w:bottom w:val="nil"/>
              <w:right w:val="nil"/>
            </w:tcBorders>
            <w:shd w:val="clear" w:color="auto" w:fill="auto"/>
            <w:tcMar>
              <w:top w:w="12" w:type="dxa"/>
              <w:left w:w="12" w:type="dxa"/>
              <w:bottom w:w="0" w:type="dxa"/>
              <w:right w:w="12" w:type="dxa"/>
            </w:tcMar>
            <w:vAlign w:val="center"/>
            <w:hideMark/>
          </w:tcPr>
          <w:p w14:paraId="123E655C"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0.02</w:t>
            </w:r>
          </w:p>
        </w:tc>
        <w:tc>
          <w:tcPr>
            <w:tcW w:w="656" w:type="pct"/>
            <w:tcBorders>
              <w:top w:val="nil"/>
              <w:left w:val="nil"/>
              <w:bottom w:val="nil"/>
              <w:right w:val="nil"/>
            </w:tcBorders>
            <w:shd w:val="clear" w:color="auto" w:fill="DEEBF7"/>
            <w:tcMar>
              <w:top w:w="12" w:type="dxa"/>
              <w:left w:w="12" w:type="dxa"/>
              <w:bottom w:w="0" w:type="dxa"/>
              <w:right w:w="12" w:type="dxa"/>
            </w:tcMar>
            <w:vAlign w:val="center"/>
            <w:hideMark/>
          </w:tcPr>
          <w:p w14:paraId="7EC32BA5"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0.03</w:t>
            </w:r>
          </w:p>
        </w:tc>
      </w:tr>
      <w:tr w:rsidR="00E8144F" w:rsidRPr="005D10DD" w14:paraId="31D0E1DC" w14:textId="77777777" w:rsidTr="00CA5241">
        <w:trPr>
          <w:trHeight w:val="20"/>
        </w:trPr>
        <w:tc>
          <w:tcPr>
            <w:tcW w:w="399" w:type="pct"/>
            <w:tcBorders>
              <w:top w:val="nil"/>
              <w:left w:val="nil"/>
              <w:bottom w:val="nil"/>
              <w:right w:val="nil"/>
            </w:tcBorders>
            <w:shd w:val="clear" w:color="auto" w:fill="auto"/>
            <w:tcMar>
              <w:top w:w="12" w:type="dxa"/>
              <w:left w:w="12" w:type="dxa"/>
              <w:bottom w:w="0" w:type="dxa"/>
              <w:right w:w="12" w:type="dxa"/>
            </w:tcMar>
            <w:vAlign w:val="center"/>
            <w:hideMark/>
          </w:tcPr>
          <w:p w14:paraId="464FFBBD"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Risk 5</w:t>
            </w:r>
          </w:p>
        </w:tc>
        <w:tc>
          <w:tcPr>
            <w:tcW w:w="657" w:type="pct"/>
            <w:tcBorders>
              <w:top w:val="nil"/>
              <w:left w:val="nil"/>
              <w:bottom w:val="nil"/>
              <w:right w:val="nil"/>
            </w:tcBorders>
            <w:shd w:val="clear" w:color="auto" w:fill="auto"/>
            <w:tcMar>
              <w:top w:w="12" w:type="dxa"/>
              <w:left w:w="12" w:type="dxa"/>
              <w:bottom w:w="0" w:type="dxa"/>
              <w:right w:w="12" w:type="dxa"/>
            </w:tcMar>
            <w:vAlign w:val="center"/>
            <w:hideMark/>
          </w:tcPr>
          <w:p w14:paraId="05796B03"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0.15</w:t>
            </w:r>
          </w:p>
        </w:tc>
        <w:tc>
          <w:tcPr>
            <w:tcW w:w="658" w:type="pct"/>
            <w:tcBorders>
              <w:top w:val="nil"/>
              <w:left w:val="nil"/>
              <w:bottom w:val="nil"/>
              <w:right w:val="nil"/>
            </w:tcBorders>
            <w:shd w:val="clear" w:color="auto" w:fill="auto"/>
            <w:tcMar>
              <w:top w:w="12" w:type="dxa"/>
              <w:left w:w="12" w:type="dxa"/>
              <w:bottom w:w="0" w:type="dxa"/>
              <w:right w:w="12" w:type="dxa"/>
            </w:tcMar>
            <w:vAlign w:val="center"/>
            <w:hideMark/>
          </w:tcPr>
          <w:p w14:paraId="1E0B1467"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0.35</w:t>
            </w:r>
          </w:p>
        </w:tc>
        <w:tc>
          <w:tcPr>
            <w:tcW w:w="657" w:type="pct"/>
            <w:tcBorders>
              <w:top w:val="nil"/>
              <w:left w:val="nil"/>
              <w:bottom w:val="nil"/>
              <w:right w:val="nil"/>
            </w:tcBorders>
            <w:shd w:val="clear" w:color="auto" w:fill="auto"/>
            <w:tcMar>
              <w:top w:w="12" w:type="dxa"/>
              <w:left w:w="12" w:type="dxa"/>
              <w:bottom w:w="0" w:type="dxa"/>
              <w:right w:w="12" w:type="dxa"/>
            </w:tcMar>
            <w:vAlign w:val="center"/>
            <w:hideMark/>
          </w:tcPr>
          <w:p w14:paraId="2A1A83BE"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0.29</w:t>
            </w:r>
          </w:p>
        </w:tc>
        <w:tc>
          <w:tcPr>
            <w:tcW w:w="658" w:type="pct"/>
            <w:tcBorders>
              <w:top w:val="nil"/>
              <w:left w:val="nil"/>
              <w:bottom w:val="nil"/>
              <w:right w:val="nil"/>
            </w:tcBorders>
            <w:shd w:val="clear" w:color="auto" w:fill="auto"/>
            <w:tcMar>
              <w:top w:w="12" w:type="dxa"/>
              <w:left w:w="12" w:type="dxa"/>
              <w:bottom w:w="0" w:type="dxa"/>
              <w:right w:w="12" w:type="dxa"/>
            </w:tcMar>
            <w:vAlign w:val="center"/>
            <w:hideMark/>
          </w:tcPr>
          <w:p w14:paraId="563CDF12"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0.25</w:t>
            </w:r>
          </w:p>
        </w:tc>
        <w:tc>
          <w:tcPr>
            <w:tcW w:w="657" w:type="pct"/>
            <w:tcBorders>
              <w:top w:val="nil"/>
              <w:left w:val="nil"/>
              <w:bottom w:val="nil"/>
              <w:right w:val="nil"/>
            </w:tcBorders>
            <w:shd w:val="clear" w:color="auto" w:fill="auto"/>
            <w:tcMar>
              <w:top w:w="12" w:type="dxa"/>
              <w:left w:w="12" w:type="dxa"/>
              <w:bottom w:w="0" w:type="dxa"/>
              <w:right w:w="12" w:type="dxa"/>
            </w:tcMar>
            <w:vAlign w:val="center"/>
            <w:hideMark/>
          </w:tcPr>
          <w:p w14:paraId="7846A794"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0.20</w:t>
            </w:r>
          </w:p>
        </w:tc>
        <w:tc>
          <w:tcPr>
            <w:tcW w:w="658" w:type="pct"/>
            <w:tcBorders>
              <w:top w:val="nil"/>
              <w:left w:val="nil"/>
              <w:bottom w:val="nil"/>
              <w:right w:val="nil"/>
            </w:tcBorders>
            <w:shd w:val="clear" w:color="auto" w:fill="auto"/>
            <w:tcMar>
              <w:top w:w="12" w:type="dxa"/>
              <w:left w:w="12" w:type="dxa"/>
              <w:bottom w:w="0" w:type="dxa"/>
              <w:right w:w="12" w:type="dxa"/>
            </w:tcMar>
            <w:vAlign w:val="center"/>
            <w:hideMark/>
          </w:tcPr>
          <w:p w14:paraId="4997C423"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0.28</w:t>
            </w:r>
          </w:p>
        </w:tc>
        <w:tc>
          <w:tcPr>
            <w:tcW w:w="656" w:type="pct"/>
            <w:tcBorders>
              <w:top w:val="nil"/>
              <w:left w:val="nil"/>
              <w:bottom w:val="nil"/>
              <w:right w:val="nil"/>
            </w:tcBorders>
            <w:shd w:val="clear" w:color="auto" w:fill="DEEBF7"/>
            <w:tcMar>
              <w:top w:w="12" w:type="dxa"/>
              <w:left w:w="12" w:type="dxa"/>
              <w:bottom w:w="0" w:type="dxa"/>
              <w:right w:w="12" w:type="dxa"/>
            </w:tcMar>
            <w:vAlign w:val="center"/>
            <w:hideMark/>
          </w:tcPr>
          <w:p w14:paraId="5E4C57CB"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0.25</w:t>
            </w:r>
          </w:p>
        </w:tc>
      </w:tr>
      <w:tr w:rsidR="00E8144F" w:rsidRPr="005D10DD" w14:paraId="1BAC4ECD" w14:textId="77777777" w:rsidTr="00CA5241">
        <w:trPr>
          <w:trHeight w:val="20"/>
        </w:trPr>
        <w:tc>
          <w:tcPr>
            <w:tcW w:w="399" w:type="pct"/>
            <w:tcBorders>
              <w:top w:val="nil"/>
              <w:left w:val="nil"/>
              <w:bottom w:val="single" w:sz="8" w:space="0" w:color="auto"/>
              <w:right w:val="nil"/>
            </w:tcBorders>
            <w:shd w:val="clear" w:color="auto" w:fill="auto"/>
            <w:tcMar>
              <w:top w:w="12" w:type="dxa"/>
              <w:left w:w="12" w:type="dxa"/>
              <w:bottom w:w="0" w:type="dxa"/>
              <w:right w:w="12" w:type="dxa"/>
            </w:tcMar>
            <w:vAlign w:val="center"/>
            <w:hideMark/>
          </w:tcPr>
          <w:p w14:paraId="357589F7"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Risk 6</w:t>
            </w:r>
          </w:p>
        </w:tc>
        <w:tc>
          <w:tcPr>
            <w:tcW w:w="657" w:type="pct"/>
            <w:tcBorders>
              <w:top w:val="nil"/>
              <w:left w:val="nil"/>
              <w:bottom w:val="single" w:sz="8" w:space="0" w:color="auto"/>
              <w:right w:val="nil"/>
            </w:tcBorders>
            <w:shd w:val="clear" w:color="auto" w:fill="auto"/>
            <w:tcMar>
              <w:top w:w="12" w:type="dxa"/>
              <w:left w:w="12" w:type="dxa"/>
              <w:bottom w:w="0" w:type="dxa"/>
              <w:right w:w="12" w:type="dxa"/>
            </w:tcMar>
            <w:vAlign w:val="center"/>
            <w:hideMark/>
          </w:tcPr>
          <w:p w14:paraId="793AA8C9"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0.09</w:t>
            </w:r>
          </w:p>
        </w:tc>
        <w:tc>
          <w:tcPr>
            <w:tcW w:w="658" w:type="pct"/>
            <w:tcBorders>
              <w:top w:val="nil"/>
              <w:left w:val="nil"/>
              <w:bottom w:val="single" w:sz="8" w:space="0" w:color="auto"/>
              <w:right w:val="nil"/>
            </w:tcBorders>
            <w:shd w:val="clear" w:color="auto" w:fill="auto"/>
            <w:tcMar>
              <w:top w:w="12" w:type="dxa"/>
              <w:left w:w="12" w:type="dxa"/>
              <w:bottom w:w="0" w:type="dxa"/>
              <w:right w:w="12" w:type="dxa"/>
            </w:tcMar>
            <w:vAlign w:val="center"/>
            <w:hideMark/>
          </w:tcPr>
          <w:p w14:paraId="5A6A21FA"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0.12</w:t>
            </w:r>
          </w:p>
        </w:tc>
        <w:tc>
          <w:tcPr>
            <w:tcW w:w="657" w:type="pct"/>
            <w:tcBorders>
              <w:top w:val="nil"/>
              <w:left w:val="nil"/>
              <w:bottom w:val="single" w:sz="8" w:space="0" w:color="auto"/>
              <w:right w:val="nil"/>
            </w:tcBorders>
            <w:shd w:val="clear" w:color="auto" w:fill="auto"/>
            <w:tcMar>
              <w:top w:w="12" w:type="dxa"/>
              <w:left w:w="12" w:type="dxa"/>
              <w:bottom w:w="0" w:type="dxa"/>
              <w:right w:w="12" w:type="dxa"/>
            </w:tcMar>
            <w:vAlign w:val="center"/>
            <w:hideMark/>
          </w:tcPr>
          <w:p w14:paraId="34A65082"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0.17</w:t>
            </w:r>
          </w:p>
        </w:tc>
        <w:tc>
          <w:tcPr>
            <w:tcW w:w="658" w:type="pct"/>
            <w:tcBorders>
              <w:top w:val="nil"/>
              <w:left w:val="nil"/>
              <w:bottom w:val="single" w:sz="8" w:space="0" w:color="auto"/>
              <w:right w:val="nil"/>
            </w:tcBorders>
            <w:shd w:val="clear" w:color="auto" w:fill="auto"/>
            <w:tcMar>
              <w:top w:w="12" w:type="dxa"/>
              <w:left w:w="12" w:type="dxa"/>
              <w:bottom w:w="0" w:type="dxa"/>
              <w:right w:w="12" w:type="dxa"/>
            </w:tcMar>
            <w:vAlign w:val="center"/>
            <w:hideMark/>
          </w:tcPr>
          <w:p w14:paraId="6B6B5926"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0.18</w:t>
            </w:r>
          </w:p>
        </w:tc>
        <w:tc>
          <w:tcPr>
            <w:tcW w:w="657" w:type="pct"/>
            <w:tcBorders>
              <w:top w:val="nil"/>
              <w:left w:val="nil"/>
              <w:bottom w:val="single" w:sz="8" w:space="0" w:color="auto"/>
              <w:right w:val="nil"/>
            </w:tcBorders>
            <w:shd w:val="clear" w:color="auto" w:fill="auto"/>
            <w:tcMar>
              <w:top w:w="12" w:type="dxa"/>
              <w:left w:w="12" w:type="dxa"/>
              <w:bottom w:w="0" w:type="dxa"/>
              <w:right w:w="12" w:type="dxa"/>
            </w:tcMar>
            <w:vAlign w:val="center"/>
            <w:hideMark/>
          </w:tcPr>
          <w:p w14:paraId="1048036A"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0.07</w:t>
            </w:r>
          </w:p>
        </w:tc>
        <w:tc>
          <w:tcPr>
            <w:tcW w:w="658" w:type="pct"/>
            <w:tcBorders>
              <w:top w:val="nil"/>
              <w:left w:val="nil"/>
              <w:bottom w:val="single" w:sz="8" w:space="0" w:color="auto"/>
              <w:right w:val="nil"/>
            </w:tcBorders>
            <w:shd w:val="clear" w:color="auto" w:fill="auto"/>
            <w:tcMar>
              <w:top w:w="12" w:type="dxa"/>
              <w:left w:w="12" w:type="dxa"/>
              <w:bottom w:w="0" w:type="dxa"/>
              <w:right w:w="12" w:type="dxa"/>
            </w:tcMar>
            <w:vAlign w:val="center"/>
            <w:hideMark/>
          </w:tcPr>
          <w:p w14:paraId="35B7AFAF" w14:textId="77777777" w:rsidR="00E8144F" w:rsidRPr="005D10DD" w:rsidRDefault="00E8144F" w:rsidP="00CA5241">
            <w:pPr>
              <w:spacing w:line="240" w:lineRule="auto"/>
              <w:ind w:firstLine="0"/>
              <w:jc w:val="center"/>
              <w:rPr>
                <w:sz w:val="18"/>
                <w:szCs w:val="18"/>
                <w:lang w:val="en-IN"/>
              </w:rPr>
            </w:pPr>
            <w:r w:rsidRPr="005D10DD">
              <w:rPr>
                <w:sz w:val="18"/>
                <w:szCs w:val="18"/>
                <w:lang w:val="en-IN"/>
              </w:rPr>
              <w:t>0.09</w:t>
            </w:r>
          </w:p>
        </w:tc>
        <w:tc>
          <w:tcPr>
            <w:tcW w:w="656" w:type="pct"/>
            <w:tcBorders>
              <w:top w:val="nil"/>
              <w:left w:val="nil"/>
              <w:bottom w:val="single" w:sz="8" w:space="0" w:color="auto"/>
              <w:right w:val="nil"/>
            </w:tcBorders>
            <w:shd w:val="clear" w:color="auto" w:fill="DEEBF7"/>
            <w:tcMar>
              <w:top w:w="12" w:type="dxa"/>
              <w:left w:w="12" w:type="dxa"/>
              <w:bottom w:w="0" w:type="dxa"/>
              <w:right w:w="12" w:type="dxa"/>
            </w:tcMar>
            <w:vAlign w:val="center"/>
            <w:hideMark/>
          </w:tcPr>
          <w:p w14:paraId="62DB8C90" w14:textId="77777777" w:rsidR="00E8144F" w:rsidRPr="005D10DD" w:rsidRDefault="00E8144F" w:rsidP="00CA5241">
            <w:pPr>
              <w:spacing w:line="240" w:lineRule="auto"/>
              <w:ind w:firstLine="0"/>
              <w:jc w:val="center"/>
              <w:rPr>
                <w:sz w:val="18"/>
                <w:szCs w:val="18"/>
                <w:lang w:val="en-IN"/>
              </w:rPr>
            </w:pPr>
            <w:r w:rsidRPr="005D10DD">
              <w:rPr>
                <w:bCs/>
                <w:sz w:val="18"/>
                <w:szCs w:val="18"/>
                <w:lang w:val="en-IN"/>
              </w:rPr>
              <w:t>0.12</w:t>
            </w:r>
          </w:p>
        </w:tc>
      </w:tr>
    </w:tbl>
    <w:p w14:paraId="3C57C3D2" w14:textId="77777777" w:rsidR="00E8144F" w:rsidRDefault="00E8144F" w:rsidP="00E8144F"/>
    <w:p w14:paraId="0E0035B8" w14:textId="397F6C95" w:rsidR="00FC6D72" w:rsidRDefault="00E8144F" w:rsidP="00FC6D72">
      <w:pPr>
        <w:ind w:firstLine="0"/>
      </w:pPr>
      <w:r w:rsidRPr="00FC6D72">
        <w:t>The computed eigenvector indicates that risk 1, regulatory and compliance risk, requires more attention than risk 5, land acquisition. This is followed by risk 2, improper surveying; risk 6, improper project documentation; risk 3, inaccurate traffic study; and risk 4, geopolitical instability. Note that the prioritization of these risks is based on the present case data.</w:t>
      </w:r>
      <w:r w:rsidR="00D50725">
        <w:t xml:space="preserve"> The AHP computations were performed across all sectors for both pre-construction and post-construction phases, </w:t>
      </w:r>
      <w:r w:rsidR="007D523A">
        <w:t xml:space="preserve">and the construction phase was considered </w:t>
      </w:r>
      <w:r w:rsidR="00D50725">
        <w:t xml:space="preserve">a single entity, given the uniform risk levels across its sectors. A summary of the consistency analysis is provided in </w:t>
      </w:r>
      <w:r w:rsidR="00B15D99">
        <w:fldChar w:fldCharType="begin"/>
      </w:r>
      <w:r w:rsidR="00B15D99">
        <w:instrText xml:space="preserve"> REF _Ref174486960 \h </w:instrText>
      </w:r>
      <w:r w:rsidR="00B15D99">
        <w:fldChar w:fldCharType="separate"/>
      </w:r>
      <w:r w:rsidR="00B15D99">
        <w:rPr>
          <w:b/>
        </w:rPr>
        <w:t xml:space="preserve">Table </w:t>
      </w:r>
      <w:r w:rsidR="00B15D99">
        <w:rPr>
          <w:b/>
          <w:noProof/>
        </w:rPr>
        <w:t>3</w:t>
      </w:r>
      <w:r w:rsidR="00B15D99">
        <w:fldChar w:fldCharType="end"/>
      </w:r>
      <w:r w:rsidR="00B15D99">
        <w:t>.</w:t>
      </w:r>
    </w:p>
    <w:p w14:paraId="391992EF" w14:textId="5841AF8A" w:rsidR="00E8144F" w:rsidRPr="00FC6D72" w:rsidRDefault="00E8144F" w:rsidP="00FC6D72">
      <w:r w:rsidRPr="00FC6D72">
        <w:t xml:space="preserve">The consistency analysis </w:t>
      </w:r>
      <w:r w:rsidR="00424BE7">
        <w:t xml:space="preserve">(refer Equations 1 and 2) </w:t>
      </w:r>
      <w:r w:rsidRPr="00FC6D72">
        <w:t>contains measurement for random maximum eigenvalue (</w:t>
      </w:r>
      <m:oMath>
        <m:sSub>
          <m:sSubPr>
            <m:ctrlPr>
              <w:rPr>
                <w:rFonts w:ascii="Cambria Math" w:hAnsi="Cambria Math"/>
              </w:rPr>
            </m:ctrlPr>
          </m:sSubPr>
          <m:e>
            <m:r>
              <w:rPr>
                <w:rFonts w:ascii="Cambria Math" w:hAnsi="Cambria Math"/>
              </w:rPr>
              <m:t>λ</m:t>
            </m:r>
          </m:e>
          <m:sub>
            <m:r>
              <w:rPr>
                <w:rFonts w:ascii="Cambria Math" w:hAnsi="Cambria Math"/>
              </w:rPr>
              <m:t>max</m:t>
            </m:r>
          </m:sub>
        </m:sSub>
      </m:oMath>
      <w:r w:rsidRPr="00FC6D72">
        <w:t xml:space="preserve">), Random Consistency (RC), Consistency Index (CI), and Constancy Ratio (CR). </w:t>
      </w:r>
    </w:p>
    <w:p w14:paraId="2526B26B" w14:textId="066DA386" w:rsidR="00E8144F" w:rsidRPr="00FC6D72" w:rsidRDefault="00E8144F" w:rsidP="00FC6D72">
      <w:pPr>
        <w:pStyle w:val="equation"/>
        <w:jc w:val="center"/>
        <w:rPr>
          <w:rFonts w:eastAsiaTheme="minorEastAsia"/>
        </w:rPr>
      </w:pPr>
      <m:oMath>
        <m:r>
          <w:rPr>
            <w:rFonts w:ascii="Cambria Math" w:hAnsi="Cambria Math"/>
          </w:rPr>
          <m:t>CI</m:t>
        </m:r>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λ</m:t>
                </m:r>
              </m:e>
              <m:sub>
                <m:r>
                  <w:rPr>
                    <w:rFonts w:ascii="Cambria Math" w:hAnsi="Cambria Math"/>
                  </w:rPr>
                  <m:t>max</m:t>
                </m:r>
              </m:sub>
            </m:sSub>
            <m:r>
              <m:rPr>
                <m:sty m:val="p"/>
              </m:rPr>
              <w:rPr>
                <w:rFonts w:ascii="Cambria Math" w:hAnsi="Cambria Math"/>
              </w:rPr>
              <m:t>-</m:t>
            </m:r>
            <m:r>
              <w:rPr>
                <w:rFonts w:ascii="Cambria Math" w:hAnsi="Cambria Math"/>
              </w:rPr>
              <m:t>n</m:t>
            </m:r>
          </m:num>
          <m:den>
            <m:r>
              <w:rPr>
                <w:rFonts w:ascii="Cambria Math" w:hAnsi="Cambria Math"/>
              </w:rPr>
              <m:t>n</m:t>
            </m:r>
            <m:r>
              <m:rPr>
                <m:sty m:val="p"/>
              </m:rPr>
              <w:rPr>
                <w:rFonts w:ascii="Cambria Math" w:hAnsi="Cambria Math"/>
              </w:rPr>
              <m:t>-1</m:t>
            </m:r>
          </m:den>
        </m:f>
      </m:oMath>
      <w:r w:rsidR="00FC6D72">
        <w:rPr>
          <w:rFonts w:eastAsiaTheme="minorEastAsia"/>
        </w:rPr>
        <w:tab/>
        <w:t>(</w:t>
      </w:r>
      <w:r w:rsidR="00FC6D72">
        <w:rPr>
          <w:rFonts w:eastAsiaTheme="minorEastAsia"/>
        </w:rPr>
        <w:fldChar w:fldCharType="begin"/>
      </w:r>
      <w:r w:rsidR="00FC6D72">
        <w:rPr>
          <w:rFonts w:eastAsiaTheme="minorEastAsia"/>
        </w:rPr>
        <w:instrText xml:space="preserve"> SEQ "equation" \n \* MERGEFORMAT </w:instrText>
      </w:r>
      <w:r w:rsidR="00FC6D72">
        <w:rPr>
          <w:rFonts w:eastAsiaTheme="minorEastAsia"/>
        </w:rPr>
        <w:fldChar w:fldCharType="separate"/>
      </w:r>
      <w:r w:rsidR="007D523A">
        <w:rPr>
          <w:rFonts w:eastAsiaTheme="minorEastAsia"/>
          <w:noProof/>
        </w:rPr>
        <w:t>1</w:t>
      </w:r>
      <w:r w:rsidR="00FC6D72">
        <w:rPr>
          <w:rFonts w:eastAsiaTheme="minorEastAsia"/>
        </w:rPr>
        <w:fldChar w:fldCharType="end"/>
      </w:r>
      <w:r w:rsidR="00FC6D72">
        <w:rPr>
          <w:rFonts w:eastAsiaTheme="minorEastAsia"/>
        </w:rPr>
        <w:t>)</w:t>
      </w:r>
    </w:p>
    <w:p w14:paraId="5897734F" w14:textId="6EC6CB50" w:rsidR="00E8144F" w:rsidRPr="00FC6D72" w:rsidRDefault="00E8144F" w:rsidP="00FC6D72">
      <w:pPr>
        <w:pStyle w:val="equation"/>
        <w:jc w:val="center"/>
        <w:rPr>
          <w:rFonts w:eastAsiaTheme="minorEastAsia"/>
        </w:rPr>
      </w:pPr>
      <m:oMath>
        <m:r>
          <w:rPr>
            <w:rFonts w:ascii="Cambria Math" w:hAnsi="Cambria Math"/>
          </w:rPr>
          <m:t>CR</m:t>
        </m:r>
        <m:r>
          <m:rPr>
            <m:sty m:val="p"/>
          </m:rPr>
          <w:rPr>
            <w:rFonts w:ascii="Cambria Math" w:hAnsi="Cambria Math"/>
          </w:rPr>
          <m:t xml:space="preserve">= </m:t>
        </m:r>
        <m:f>
          <m:fPr>
            <m:ctrlPr>
              <w:rPr>
                <w:rFonts w:ascii="Cambria Math" w:hAnsi="Cambria Math"/>
              </w:rPr>
            </m:ctrlPr>
          </m:fPr>
          <m:num>
            <m:r>
              <w:rPr>
                <w:rFonts w:ascii="Cambria Math" w:hAnsi="Cambria Math"/>
              </w:rPr>
              <m:t>CI</m:t>
            </m:r>
          </m:num>
          <m:den>
            <m:r>
              <w:rPr>
                <w:rFonts w:ascii="Cambria Math" w:hAnsi="Cambria Math"/>
              </w:rPr>
              <m:t>RC</m:t>
            </m:r>
            <m:r>
              <m:rPr>
                <m:sty m:val="p"/>
              </m:rPr>
              <w:rPr>
                <w:rFonts w:ascii="Cambria Math" w:hAnsi="Cambria Math"/>
              </w:rPr>
              <m:t xml:space="preserve"> </m:t>
            </m:r>
          </m:den>
        </m:f>
      </m:oMath>
      <w:r w:rsidR="00FC6D72">
        <w:rPr>
          <w:rFonts w:eastAsiaTheme="minorEastAsia"/>
        </w:rPr>
        <w:tab/>
        <w:t>(</w:t>
      </w:r>
      <w:r w:rsidR="00FC6D72">
        <w:rPr>
          <w:rFonts w:eastAsiaTheme="minorEastAsia"/>
        </w:rPr>
        <w:fldChar w:fldCharType="begin"/>
      </w:r>
      <w:r w:rsidR="00FC6D72">
        <w:rPr>
          <w:rFonts w:eastAsiaTheme="minorEastAsia"/>
        </w:rPr>
        <w:instrText xml:space="preserve"> SEQ "equation" \n \* MERGEFORMAT </w:instrText>
      </w:r>
      <w:r w:rsidR="00FC6D72">
        <w:rPr>
          <w:rFonts w:eastAsiaTheme="minorEastAsia"/>
        </w:rPr>
        <w:fldChar w:fldCharType="separate"/>
      </w:r>
      <w:r w:rsidR="007D523A">
        <w:rPr>
          <w:rFonts w:eastAsiaTheme="minorEastAsia"/>
          <w:noProof/>
        </w:rPr>
        <w:t>2</w:t>
      </w:r>
      <w:r w:rsidR="00FC6D72">
        <w:rPr>
          <w:rFonts w:eastAsiaTheme="minorEastAsia"/>
        </w:rPr>
        <w:fldChar w:fldCharType="end"/>
      </w:r>
      <w:r w:rsidR="00FC6D72">
        <w:rPr>
          <w:rFonts w:eastAsiaTheme="minorEastAsia"/>
        </w:rPr>
        <w:t>)</w:t>
      </w:r>
    </w:p>
    <w:p w14:paraId="452F7FA1" w14:textId="686F38C2" w:rsidR="00E8144F" w:rsidRPr="00FC6D72" w:rsidRDefault="00E8144F" w:rsidP="00FC6D72">
      <w:pPr>
        <w:pStyle w:val="p1a"/>
        <w:rPr>
          <w:rFonts w:eastAsiaTheme="minorEastAsia"/>
        </w:rPr>
      </w:pPr>
      <w:r w:rsidRPr="00FC6D72">
        <w:rPr>
          <w:rFonts w:eastAsiaTheme="minorEastAsia"/>
        </w:rPr>
        <w:lastRenderedPageBreak/>
        <w:t xml:space="preserve">The maximum </w:t>
      </w:r>
      <w:r w:rsidR="007D523A">
        <w:rPr>
          <w:rFonts w:eastAsiaTheme="minorEastAsia"/>
        </w:rPr>
        <w:t>eigenvalue</w:t>
      </w:r>
      <w:r w:rsidRPr="00FC6D72">
        <w:rPr>
          <w:rFonts w:eastAsiaTheme="minorEastAsia"/>
        </w:rPr>
        <w:t xml:space="preserve"> is computed by the sum of products of the column sum and </w:t>
      </w:r>
      <w:r w:rsidR="007D523A">
        <w:rPr>
          <w:rFonts w:eastAsiaTheme="minorEastAsia"/>
        </w:rPr>
        <w:t>eigenvector</w:t>
      </w:r>
      <w:r w:rsidRPr="00FC6D72">
        <w:rPr>
          <w:rFonts w:eastAsiaTheme="minorEastAsia"/>
        </w:rPr>
        <w:t xml:space="preserve"> for all corresponding risks, and random consistency is adopted based on </w:t>
      </w:r>
      <w:r w:rsidR="007D523A">
        <w:rPr>
          <w:rFonts w:eastAsiaTheme="minorEastAsia"/>
        </w:rPr>
        <w:t xml:space="preserve">the </w:t>
      </w:r>
      <w:r w:rsidRPr="00FC6D72">
        <w:rPr>
          <w:rFonts w:eastAsiaTheme="minorEastAsia"/>
        </w:rPr>
        <w:t xml:space="preserve">no. of risks (n) [14]. </w:t>
      </w:r>
      <w:r w:rsidRPr="00FC6D72">
        <w:t>For a comparison to be considered reliable, the inconsistency of the comparison matrix should be less than 10%, indicating that the consistency ratio must be under 10%. This ratio is critical for the judgmental evaluation of risk assessment and determining tolerable risks.</w:t>
      </w:r>
    </w:p>
    <w:p w14:paraId="4A402CD6" w14:textId="586E93E6" w:rsidR="00E8144F" w:rsidRDefault="004944C5" w:rsidP="00FC6D72">
      <w:pPr>
        <w:pStyle w:val="tablecaption"/>
      </w:pPr>
      <w:bookmarkStart w:id="7" w:name="_Ref174486960"/>
      <w:r>
        <w:rPr>
          <w:b/>
        </w:rPr>
        <w:t xml:space="preserve">Table </w:t>
      </w:r>
      <w:r>
        <w:rPr>
          <w:b/>
        </w:rPr>
        <w:fldChar w:fldCharType="begin"/>
      </w:r>
      <w:r>
        <w:rPr>
          <w:b/>
        </w:rPr>
        <w:instrText xml:space="preserve"> SEQ "Table" \* MERGEFORMAT </w:instrText>
      </w:r>
      <w:r>
        <w:rPr>
          <w:b/>
        </w:rPr>
        <w:fldChar w:fldCharType="separate"/>
      </w:r>
      <w:r w:rsidR="007D523A">
        <w:rPr>
          <w:b/>
          <w:noProof/>
        </w:rPr>
        <w:t>3</w:t>
      </w:r>
      <w:r>
        <w:rPr>
          <w:b/>
        </w:rPr>
        <w:fldChar w:fldCharType="end"/>
      </w:r>
      <w:bookmarkEnd w:id="7"/>
      <w:r>
        <w:rPr>
          <w:b/>
        </w:rPr>
        <w:t>.</w:t>
      </w:r>
      <w:r>
        <w:t xml:space="preserve"> </w:t>
      </w:r>
      <w:r w:rsidR="00E8144F" w:rsidRPr="004944C5">
        <w:t>Sector-wise consistency analysis for risk assessment through AHP</w:t>
      </w:r>
      <w:r w:rsidR="00E8144F">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0"/>
        <w:gridCol w:w="850"/>
        <w:gridCol w:w="1093"/>
        <w:gridCol w:w="1092"/>
        <w:gridCol w:w="1093"/>
      </w:tblGrid>
      <w:tr w:rsidR="00E8144F" w:rsidRPr="005D10DD" w14:paraId="3655856C" w14:textId="77777777" w:rsidTr="007D523A">
        <w:tc>
          <w:tcPr>
            <w:tcW w:w="2016" w:type="pct"/>
            <w:tcBorders>
              <w:top w:val="single" w:sz="12" w:space="0" w:color="auto"/>
              <w:bottom w:val="single" w:sz="4" w:space="0" w:color="auto"/>
            </w:tcBorders>
            <w:vAlign w:val="center"/>
          </w:tcPr>
          <w:p w14:paraId="1B04F66B" w14:textId="77777777" w:rsidR="00E8144F" w:rsidRPr="005D10DD" w:rsidRDefault="00E8144F" w:rsidP="005D10DD">
            <w:pPr>
              <w:ind w:firstLine="0"/>
              <w:jc w:val="left"/>
              <w:rPr>
                <w:rFonts w:cs="Times New Roman"/>
                <w:sz w:val="18"/>
                <w:szCs w:val="18"/>
              </w:rPr>
            </w:pPr>
            <w:r w:rsidRPr="005D10DD">
              <w:rPr>
                <w:rFonts w:cs="Times New Roman"/>
                <w:sz w:val="18"/>
                <w:szCs w:val="18"/>
              </w:rPr>
              <w:t>Sector</w:t>
            </w:r>
          </w:p>
        </w:tc>
        <w:tc>
          <w:tcPr>
            <w:tcW w:w="614" w:type="pct"/>
            <w:tcBorders>
              <w:top w:val="single" w:sz="12" w:space="0" w:color="auto"/>
              <w:bottom w:val="single" w:sz="4" w:space="0" w:color="auto"/>
            </w:tcBorders>
            <w:vAlign w:val="center"/>
          </w:tcPr>
          <w:p w14:paraId="286E3732" w14:textId="77777777" w:rsidR="00E8144F" w:rsidRPr="005D10DD" w:rsidRDefault="007D523A" w:rsidP="005D10DD">
            <w:pPr>
              <w:ind w:firstLine="0"/>
              <w:jc w:val="left"/>
              <w:rPr>
                <w:rFonts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λ</m:t>
                    </m:r>
                  </m:e>
                  <m:sub>
                    <m:r>
                      <w:rPr>
                        <w:rFonts w:ascii="Cambria Math" w:hAnsi="Cambria Math" w:cs="Times New Roman"/>
                        <w:sz w:val="18"/>
                        <w:szCs w:val="18"/>
                      </w:rPr>
                      <m:t>max</m:t>
                    </m:r>
                  </m:sub>
                </m:sSub>
              </m:oMath>
            </m:oMathPara>
          </w:p>
        </w:tc>
        <w:tc>
          <w:tcPr>
            <w:tcW w:w="790" w:type="pct"/>
            <w:tcBorders>
              <w:top w:val="single" w:sz="12" w:space="0" w:color="auto"/>
              <w:bottom w:val="single" w:sz="4" w:space="0" w:color="auto"/>
            </w:tcBorders>
            <w:vAlign w:val="center"/>
          </w:tcPr>
          <w:p w14:paraId="27484837" w14:textId="77777777" w:rsidR="00E8144F" w:rsidRPr="005D10DD" w:rsidRDefault="00E8144F" w:rsidP="005D10DD">
            <w:pPr>
              <w:ind w:firstLine="0"/>
              <w:jc w:val="center"/>
              <w:rPr>
                <w:rFonts w:cs="Times New Roman"/>
                <w:sz w:val="18"/>
                <w:szCs w:val="18"/>
              </w:rPr>
            </w:pPr>
            <w:r w:rsidRPr="005D10DD">
              <w:rPr>
                <w:rFonts w:cs="Times New Roman"/>
                <w:sz w:val="18"/>
                <w:szCs w:val="18"/>
              </w:rPr>
              <w:t>RC</w:t>
            </w:r>
          </w:p>
        </w:tc>
        <w:tc>
          <w:tcPr>
            <w:tcW w:w="789" w:type="pct"/>
            <w:tcBorders>
              <w:top w:val="single" w:sz="12" w:space="0" w:color="auto"/>
              <w:bottom w:val="single" w:sz="4" w:space="0" w:color="auto"/>
            </w:tcBorders>
            <w:vAlign w:val="center"/>
          </w:tcPr>
          <w:p w14:paraId="1B0731A9" w14:textId="77777777" w:rsidR="00E8144F" w:rsidRPr="005D10DD" w:rsidRDefault="00E8144F" w:rsidP="005D10DD">
            <w:pPr>
              <w:ind w:firstLine="0"/>
              <w:jc w:val="center"/>
              <w:rPr>
                <w:rFonts w:cs="Times New Roman"/>
                <w:sz w:val="18"/>
                <w:szCs w:val="18"/>
              </w:rPr>
            </w:pPr>
            <w:r w:rsidRPr="005D10DD">
              <w:rPr>
                <w:rFonts w:cs="Times New Roman"/>
                <w:sz w:val="18"/>
                <w:szCs w:val="18"/>
              </w:rPr>
              <w:t>CI</w:t>
            </w:r>
          </w:p>
        </w:tc>
        <w:tc>
          <w:tcPr>
            <w:tcW w:w="790" w:type="pct"/>
            <w:tcBorders>
              <w:top w:val="single" w:sz="12" w:space="0" w:color="auto"/>
              <w:bottom w:val="single" w:sz="4" w:space="0" w:color="auto"/>
            </w:tcBorders>
            <w:vAlign w:val="center"/>
          </w:tcPr>
          <w:p w14:paraId="7E08E566" w14:textId="77777777" w:rsidR="00E8144F" w:rsidRPr="005D10DD" w:rsidRDefault="00E8144F" w:rsidP="005D10DD">
            <w:pPr>
              <w:ind w:firstLine="0"/>
              <w:jc w:val="center"/>
              <w:rPr>
                <w:rFonts w:cs="Times New Roman"/>
                <w:sz w:val="18"/>
                <w:szCs w:val="18"/>
              </w:rPr>
            </w:pPr>
            <w:r w:rsidRPr="005D10DD">
              <w:rPr>
                <w:rFonts w:cs="Times New Roman"/>
                <w:sz w:val="18"/>
                <w:szCs w:val="18"/>
              </w:rPr>
              <w:t>CR (%)</w:t>
            </w:r>
          </w:p>
        </w:tc>
      </w:tr>
      <w:tr w:rsidR="00982594" w:rsidRPr="005D10DD" w14:paraId="1A7E824E" w14:textId="77777777" w:rsidTr="007D523A">
        <w:tc>
          <w:tcPr>
            <w:tcW w:w="2016" w:type="pct"/>
            <w:tcBorders>
              <w:top w:val="single" w:sz="12" w:space="0" w:color="auto"/>
              <w:bottom w:val="single" w:sz="4" w:space="0" w:color="auto"/>
            </w:tcBorders>
            <w:vAlign w:val="center"/>
          </w:tcPr>
          <w:p w14:paraId="182960A2" w14:textId="532D29A4" w:rsidR="00982594" w:rsidRPr="005D10DD" w:rsidRDefault="00982594" w:rsidP="005D10DD">
            <w:pPr>
              <w:ind w:firstLine="0"/>
              <w:jc w:val="left"/>
              <w:rPr>
                <w:sz w:val="18"/>
                <w:szCs w:val="18"/>
              </w:rPr>
            </w:pPr>
            <w:r>
              <w:rPr>
                <w:sz w:val="18"/>
                <w:szCs w:val="18"/>
              </w:rPr>
              <w:t xml:space="preserve">Pre-Construction Phase </w:t>
            </w:r>
          </w:p>
        </w:tc>
        <w:tc>
          <w:tcPr>
            <w:tcW w:w="614" w:type="pct"/>
            <w:tcBorders>
              <w:top w:val="single" w:sz="12" w:space="0" w:color="auto"/>
              <w:bottom w:val="single" w:sz="4" w:space="0" w:color="auto"/>
            </w:tcBorders>
            <w:vAlign w:val="center"/>
          </w:tcPr>
          <w:p w14:paraId="066CDEFA" w14:textId="77777777" w:rsidR="00982594" w:rsidRDefault="00982594" w:rsidP="005D10DD">
            <w:pPr>
              <w:ind w:firstLine="0"/>
              <w:jc w:val="left"/>
              <w:rPr>
                <w:rFonts w:ascii="Calibri" w:eastAsia="Calibri" w:hAnsi="Calibri"/>
                <w:sz w:val="18"/>
                <w:szCs w:val="18"/>
              </w:rPr>
            </w:pPr>
          </w:p>
        </w:tc>
        <w:tc>
          <w:tcPr>
            <w:tcW w:w="790" w:type="pct"/>
            <w:tcBorders>
              <w:top w:val="single" w:sz="12" w:space="0" w:color="auto"/>
              <w:bottom w:val="single" w:sz="4" w:space="0" w:color="auto"/>
            </w:tcBorders>
            <w:vAlign w:val="center"/>
          </w:tcPr>
          <w:p w14:paraId="19B2D22C" w14:textId="77777777" w:rsidR="00982594" w:rsidRPr="005D10DD" w:rsidRDefault="00982594" w:rsidP="005D10DD">
            <w:pPr>
              <w:ind w:firstLine="0"/>
              <w:jc w:val="center"/>
              <w:rPr>
                <w:sz w:val="18"/>
                <w:szCs w:val="18"/>
              </w:rPr>
            </w:pPr>
          </w:p>
        </w:tc>
        <w:tc>
          <w:tcPr>
            <w:tcW w:w="789" w:type="pct"/>
            <w:tcBorders>
              <w:top w:val="single" w:sz="12" w:space="0" w:color="auto"/>
              <w:bottom w:val="single" w:sz="4" w:space="0" w:color="auto"/>
            </w:tcBorders>
            <w:vAlign w:val="center"/>
          </w:tcPr>
          <w:p w14:paraId="7C35A20B" w14:textId="77777777" w:rsidR="00982594" w:rsidRPr="005D10DD" w:rsidRDefault="00982594" w:rsidP="005D10DD">
            <w:pPr>
              <w:ind w:firstLine="0"/>
              <w:jc w:val="center"/>
              <w:rPr>
                <w:sz w:val="18"/>
                <w:szCs w:val="18"/>
              </w:rPr>
            </w:pPr>
          </w:p>
        </w:tc>
        <w:tc>
          <w:tcPr>
            <w:tcW w:w="790" w:type="pct"/>
            <w:tcBorders>
              <w:top w:val="single" w:sz="12" w:space="0" w:color="auto"/>
              <w:bottom w:val="single" w:sz="4" w:space="0" w:color="auto"/>
            </w:tcBorders>
            <w:vAlign w:val="center"/>
          </w:tcPr>
          <w:p w14:paraId="30968BD0" w14:textId="77777777" w:rsidR="00982594" w:rsidRPr="005D10DD" w:rsidRDefault="00982594" w:rsidP="005D10DD">
            <w:pPr>
              <w:ind w:firstLine="0"/>
              <w:jc w:val="center"/>
              <w:rPr>
                <w:sz w:val="18"/>
                <w:szCs w:val="18"/>
              </w:rPr>
            </w:pPr>
          </w:p>
        </w:tc>
      </w:tr>
      <w:tr w:rsidR="00E8144F" w:rsidRPr="005D10DD" w14:paraId="2CDF6FB5" w14:textId="77777777" w:rsidTr="007D523A">
        <w:tc>
          <w:tcPr>
            <w:tcW w:w="2016" w:type="pct"/>
            <w:tcBorders>
              <w:top w:val="single" w:sz="4" w:space="0" w:color="auto"/>
            </w:tcBorders>
            <w:vAlign w:val="center"/>
          </w:tcPr>
          <w:p w14:paraId="09EC5462" w14:textId="119E0EEB" w:rsidR="00E8144F" w:rsidRPr="005D10DD" w:rsidRDefault="00982594" w:rsidP="005D10DD">
            <w:pPr>
              <w:ind w:firstLine="0"/>
              <w:jc w:val="left"/>
              <w:rPr>
                <w:rFonts w:cs="Times New Roman"/>
                <w:sz w:val="18"/>
                <w:szCs w:val="18"/>
              </w:rPr>
            </w:pPr>
            <w:r>
              <w:rPr>
                <w:rFonts w:cs="Times New Roman"/>
                <w:sz w:val="18"/>
                <w:szCs w:val="18"/>
              </w:rPr>
              <w:t>a.</w:t>
            </w:r>
            <w:r w:rsidR="00B15D99">
              <w:rPr>
                <w:rFonts w:cs="Times New Roman"/>
                <w:sz w:val="18"/>
                <w:szCs w:val="18"/>
              </w:rPr>
              <w:t xml:space="preserve"> </w:t>
            </w:r>
            <w:r w:rsidR="00E8144F" w:rsidRPr="005D10DD">
              <w:rPr>
                <w:rFonts w:cs="Times New Roman"/>
                <w:sz w:val="18"/>
                <w:szCs w:val="18"/>
              </w:rPr>
              <w:t>Feasibility Study and Design</w:t>
            </w:r>
          </w:p>
        </w:tc>
        <w:tc>
          <w:tcPr>
            <w:tcW w:w="614" w:type="pct"/>
            <w:tcBorders>
              <w:top w:val="single" w:sz="4" w:space="0" w:color="auto"/>
            </w:tcBorders>
            <w:vAlign w:val="center"/>
          </w:tcPr>
          <w:p w14:paraId="4A6DE667" w14:textId="77777777" w:rsidR="00E8144F" w:rsidRPr="005D10DD" w:rsidRDefault="00E8144F" w:rsidP="005D10DD">
            <w:pPr>
              <w:ind w:firstLine="0"/>
              <w:jc w:val="center"/>
              <w:rPr>
                <w:rFonts w:cs="Times New Roman"/>
                <w:sz w:val="18"/>
                <w:szCs w:val="18"/>
              </w:rPr>
            </w:pPr>
            <w:r w:rsidRPr="005D10DD">
              <w:rPr>
                <w:rFonts w:cs="Times New Roman"/>
                <w:sz w:val="18"/>
                <w:szCs w:val="18"/>
              </w:rPr>
              <w:t>6.49</w:t>
            </w:r>
          </w:p>
        </w:tc>
        <w:tc>
          <w:tcPr>
            <w:tcW w:w="790" w:type="pct"/>
            <w:tcBorders>
              <w:top w:val="single" w:sz="4" w:space="0" w:color="auto"/>
            </w:tcBorders>
            <w:vAlign w:val="center"/>
          </w:tcPr>
          <w:p w14:paraId="752CDD19" w14:textId="77777777" w:rsidR="00E8144F" w:rsidRPr="005D10DD" w:rsidRDefault="00E8144F" w:rsidP="005D10DD">
            <w:pPr>
              <w:ind w:firstLine="0"/>
              <w:jc w:val="center"/>
              <w:rPr>
                <w:rFonts w:cs="Times New Roman"/>
                <w:sz w:val="18"/>
                <w:szCs w:val="18"/>
              </w:rPr>
            </w:pPr>
            <w:r w:rsidRPr="005D10DD">
              <w:rPr>
                <w:rFonts w:cs="Times New Roman"/>
                <w:sz w:val="18"/>
                <w:szCs w:val="18"/>
              </w:rPr>
              <w:t>1.24</w:t>
            </w:r>
          </w:p>
        </w:tc>
        <w:tc>
          <w:tcPr>
            <w:tcW w:w="789" w:type="pct"/>
            <w:tcBorders>
              <w:top w:val="single" w:sz="4" w:space="0" w:color="auto"/>
            </w:tcBorders>
            <w:vAlign w:val="center"/>
          </w:tcPr>
          <w:p w14:paraId="552B068F" w14:textId="77777777" w:rsidR="00E8144F" w:rsidRPr="005D10DD" w:rsidRDefault="00E8144F" w:rsidP="005D10DD">
            <w:pPr>
              <w:ind w:firstLine="0"/>
              <w:jc w:val="center"/>
              <w:rPr>
                <w:rFonts w:cs="Times New Roman"/>
                <w:sz w:val="18"/>
                <w:szCs w:val="18"/>
              </w:rPr>
            </w:pPr>
            <w:r w:rsidRPr="005D10DD">
              <w:rPr>
                <w:rFonts w:cs="Times New Roman"/>
                <w:sz w:val="18"/>
                <w:szCs w:val="18"/>
              </w:rPr>
              <w:t>0.097</w:t>
            </w:r>
          </w:p>
        </w:tc>
        <w:tc>
          <w:tcPr>
            <w:tcW w:w="790" w:type="pct"/>
            <w:tcBorders>
              <w:top w:val="single" w:sz="4" w:space="0" w:color="auto"/>
            </w:tcBorders>
            <w:vAlign w:val="center"/>
          </w:tcPr>
          <w:p w14:paraId="6EA78D2A" w14:textId="77777777" w:rsidR="00E8144F" w:rsidRPr="005D10DD" w:rsidRDefault="00E8144F" w:rsidP="005D10DD">
            <w:pPr>
              <w:ind w:firstLine="0"/>
              <w:jc w:val="center"/>
              <w:rPr>
                <w:rFonts w:cs="Times New Roman"/>
                <w:sz w:val="18"/>
                <w:szCs w:val="18"/>
              </w:rPr>
            </w:pPr>
            <w:r w:rsidRPr="005D10DD">
              <w:rPr>
                <w:rFonts w:cs="Times New Roman"/>
                <w:sz w:val="18"/>
                <w:szCs w:val="18"/>
              </w:rPr>
              <w:t>7.84</w:t>
            </w:r>
          </w:p>
        </w:tc>
      </w:tr>
      <w:tr w:rsidR="00E8144F" w:rsidRPr="005D10DD" w14:paraId="65ED72CC" w14:textId="77777777" w:rsidTr="007D523A">
        <w:tc>
          <w:tcPr>
            <w:tcW w:w="2016" w:type="pct"/>
            <w:vAlign w:val="center"/>
          </w:tcPr>
          <w:p w14:paraId="12CD3884" w14:textId="7E03DD15" w:rsidR="00E8144F" w:rsidRPr="005D10DD" w:rsidRDefault="00982594" w:rsidP="005D10DD">
            <w:pPr>
              <w:ind w:firstLine="0"/>
              <w:jc w:val="left"/>
              <w:rPr>
                <w:rFonts w:cs="Times New Roman"/>
                <w:sz w:val="18"/>
                <w:szCs w:val="18"/>
              </w:rPr>
            </w:pPr>
            <w:r>
              <w:rPr>
                <w:rFonts w:cs="Times New Roman"/>
                <w:sz w:val="18"/>
                <w:szCs w:val="18"/>
              </w:rPr>
              <w:t xml:space="preserve">b. </w:t>
            </w:r>
            <w:r w:rsidR="00E8144F" w:rsidRPr="005D10DD">
              <w:rPr>
                <w:rFonts w:cs="Times New Roman"/>
                <w:sz w:val="18"/>
                <w:szCs w:val="18"/>
              </w:rPr>
              <w:t>Procurement and Tendering</w:t>
            </w:r>
          </w:p>
        </w:tc>
        <w:tc>
          <w:tcPr>
            <w:tcW w:w="614" w:type="pct"/>
            <w:vAlign w:val="center"/>
          </w:tcPr>
          <w:p w14:paraId="65FDD78C" w14:textId="77777777" w:rsidR="00E8144F" w:rsidRPr="005D10DD" w:rsidRDefault="00E8144F" w:rsidP="005D10DD">
            <w:pPr>
              <w:ind w:firstLine="0"/>
              <w:jc w:val="center"/>
              <w:rPr>
                <w:rFonts w:cs="Times New Roman"/>
                <w:sz w:val="18"/>
                <w:szCs w:val="18"/>
              </w:rPr>
            </w:pPr>
            <w:r w:rsidRPr="005D10DD">
              <w:rPr>
                <w:rFonts w:cs="Times New Roman"/>
                <w:sz w:val="18"/>
                <w:szCs w:val="18"/>
              </w:rPr>
              <w:t>6.57</w:t>
            </w:r>
          </w:p>
        </w:tc>
        <w:tc>
          <w:tcPr>
            <w:tcW w:w="790" w:type="pct"/>
            <w:vAlign w:val="center"/>
          </w:tcPr>
          <w:p w14:paraId="56430D85" w14:textId="77777777" w:rsidR="00E8144F" w:rsidRPr="005D10DD" w:rsidRDefault="00E8144F" w:rsidP="005D10DD">
            <w:pPr>
              <w:ind w:firstLine="0"/>
              <w:jc w:val="center"/>
              <w:rPr>
                <w:rFonts w:cs="Times New Roman"/>
                <w:sz w:val="18"/>
                <w:szCs w:val="18"/>
              </w:rPr>
            </w:pPr>
            <w:r w:rsidRPr="005D10DD">
              <w:rPr>
                <w:rFonts w:cs="Times New Roman"/>
                <w:sz w:val="18"/>
                <w:szCs w:val="18"/>
              </w:rPr>
              <w:t>1.24</w:t>
            </w:r>
          </w:p>
        </w:tc>
        <w:tc>
          <w:tcPr>
            <w:tcW w:w="789" w:type="pct"/>
            <w:vAlign w:val="center"/>
          </w:tcPr>
          <w:p w14:paraId="656A843A" w14:textId="77777777" w:rsidR="00E8144F" w:rsidRPr="005D10DD" w:rsidRDefault="00E8144F" w:rsidP="005D10DD">
            <w:pPr>
              <w:ind w:firstLine="0"/>
              <w:jc w:val="center"/>
              <w:rPr>
                <w:rFonts w:cs="Times New Roman"/>
                <w:sz w:val="18"/>
                <w:szCs w:val="18"/>
              </w:rPr>
            </w:pPr>
            <w:r w:rsidRPr="005D10DD">
              <w:rPr>
                <w:rFonts w:cs="Times New Roman"/>
                <w:sz w:val="18"/>
                <w:szCs w:val="18"/>
              </w:rPr>
              <w:t>0.115</w:t>
            </w:r>
          </w:p>
        </w:tc>
        <w:tc>
          <w:tcPr>
            <w:tcW w:w="790" w:type="pct"/>
            <w:vAlign w:val="center"/>
          </w:tcPr>
          <w:p w14:paraId="425F87E7" w14:textId="77777777" w:rsidR="00E8144F" w:rsidRPr="005D10DD" w:rsidRDefault="00E8144F" w:rsidP="005D10DD">
            <w:pPr>
              <w:ind w:firstLine="0"/>
              <w:jc w:val="center"/>
              <w:rPr>
                <w:rFonts w:cs="Times New Roman"/>
                <w:sz w:val="18"/>
                <w:szCs w:val="18"/>
              </w:rPr>
            </w:pPr>
            <w:r w:rsidRPr="005D10DD">
              <w:rPr>
                <w:rFonts w:cs="Times New Roman"/>
                <w:sz w:val="18"/>
                <w:szCs w:val="18"/>
              </w:rPr>
              <w:t>9.24</w:t>
            </w:r>
          </w:p>
        </w:tc>
      </w:tr>
      <w:tr w:rsidR="00E8144F" w:rsidRPr="005D10DD" w14:paraId="38C897C2" w14:textId="77777777" w:rsidTr="007D523A">
        <w:tc>
          <w:tcPr>
            <w:tcW w:w="2016" w:type="pct"/>
            <w:tcBorders>
              <w:bottom w:val="single" w:sz="4" w:space="0" w:color="auto"/>
            </w:tcBorders>
            <w:vAlign w:val="center"/>
          </w:tcPr>
          <w:p w14:paraId="6159D9B1" w14:textId="72D69034" w:rsidR="00E8144F" w:rsidRPr="005D10DD" w:rsidRDefault="00982594" w:rsidP="005D10DD">
            <w:pPr>
              <w:ind w:firstLine="0"/>
              <w:jc w:val="left"/>
              <w:rPr>
                <w:rFonts w:cs="Times New Roman"/>
                <w:sz w:val="18"/>
                <w:szCs w:val="18"/>
              </w:rPr>
            </w:pPr>
            <w:r>
              <w:rPr>
                <w:rFonts w:cs="Times New Roman"/>
                <w:sz w:val="18"/>
                <w:szCs w:val="18"/>
              </w:rPr>
              <w:t xml:space="preserve">c. </w:t>
            </w:r>
            <w:r w:rsidR="00E8144F" w:rsidRPr="005D10DD">
              <w:rPr>
                <w:rFonts w:cs="Times New Roman"/>
                <w:sz w:val="18"/>
                <w:szCs w:val="18"/>
              </w:rPr>
              <w:t>Project Scheduling and Planning</w:t>
            </w:r>
          </w:p>
        </w:tc>
        <w:tc>
          <w:tcPr>
            <w:tcW w:w="614" w:type="pct"/>
            <w:tcBorders>
              <w:bottom w:val="single" w:sz="4" w:space="0" w:color="auto"/>
            </w:tcBorders>
            <w:vAlign w:val="center"/>
          </w:tcPr>
          <w:p w14:paraId="4F01567B" w14:textId="77777777" w:rsidR="00E8144F" w:rsidRPr="005D10DD" w:rsidRDefault="00E8144F" w:rsidP="005D10DD">
            <w:pPr>
              <w:ind w:firstLine="0"/>
              <w:jc w:val="center"/>
              <w:rPr>
                <w:rFonts w:cs="Times New Roman"/>
                <w:sz w:val="18"/>
                <w:szCs w:val="18"/>
              </w:rPr>
            </w:pPr>
            <w:r w:rsidRPr="005D10DD">
              <w:rPr>
                <w:rFonts w:cs="Times New Roman"/>
                <w:sz w:val="18"/>
                <w:szCs w:val="18"/>
              </w:rPr>
              <w:t>6.61</w:t>
            </w:r>
          </w:p>
        </w:tc>
        <w:tc>
          <w:tcPr>
            <w:tcW w:w="790" w:type="pct"/>
            <w:tcBorders>
              <w:bottom w:val="single" w:sz="4" w:space="0" w:color="auto"/>
            </w:tcBorders>
            <w:vAlign w:val="center"/>
          </w:tcPr>
          <w:p w14:paraId="015F9E34" w14:textId="77777777" w:rsidR="00E8144F" w:rsidRPr="005D10DD" w:rsidRDefault="00E8144F" w:rsidP="005D10DD">
            <w:pPr>
              <w:ind w:firstLine="0"/>
              <w:jc w:val="center"/>
              <w:rPr>
                <w:rFonts w:cs="Times New Roman"/>
                <w:sz w:val="18"/>
                <w:szCs w:val="18"/>
              </w:rPr>
            </w:pPr>
            <w:r w:rsidRPr="005D10DD">
              <w:rPr>
                <w:rFonts w:cs="Times New Roman"/>
                <w:sz w:val="18"/>
                <w:szCs w:val="18"/>
              </w:rPr>
              <w:t>1.24</w:t>
            </w:r>
          </w:p>
        </w:tc>
        <w:tc>
          <w:tcPr>
            <w:tcW w:w="789" w:type="pct"/>
            <w:tcBorders>
              <w:bottom w:val="single" w:sz="4" w:space="0" w:color="auto"/>
            </w:tcBorders>
            <w:vAlign w:val="center"/>
          </w:tcPr>
          <w:p w14:paraId="4C44EB7C" w14:textId="77777777" w:rsidR="00E8144F" w:rsidRPr="005D10DD" w:rsidRDefault="00E8144F" w:rsidP="005D10DD">
            <w:pPr>
              <w:ind w:firstLine="0"/>
              <w:jc w:val="center"/>
              <w:rPr>
                <w:rFonts w:cs="Times New Roman"/>
                <w:sz w:val="18"/>
                <w:szCs w:val="18"/>
              </w:rPr>
            </w:pPr>
            <w:r w:rsidRPr="005D10DD">
              <w:rPr>
                <w:rFonts w:cs="Times New Roman"/>
                <w:sz w:val="18"/>
                <w:szCs w:val="18"/>
              </w:rPr>
              <w:t>0.123</w:t>
            </w:r>
          </w:p>
        </w:tc>
        <w:tc>
          <w:tcPr>
            <w:tcW w:w="790" w:type="pct"/>
            <w:tcBorders>
              <w:bottom w:val="single" w:sz="4" w:space="0" w:color="auto"/>
            </w:tcBorders>
            <w:vAlign w:val="center"/>
          </w:tcPr>
          <w:p w14:paraId="0B0ACF8A" w14:textId="77777777" w:rsidR="00E8144F" w:rsidRPr="005D10DD" w:rsidRDefault="00E8144F" w:rsidP="005D10DD">
            <w:pPr>
              <w:ind w:firstLine="0"/>
              <w:jc w:val="center"/>
              <w:rPr>
                <w:rFonts w:cs="Times New Roman"/>
                <w:sz w:val="18"/>
                <w:szCs w:val="18"/>
              </w:rPr>
            </w:pPr>
            <w:r w:rsidRPr="005D10DD">
              <w:rPr>
                <w:rFonts w:cs="Times New Roman"/>
                <w:sz w:val="18"/>
                <w:szCs w:val="18"/>
              </w:rPr>
              <w:t>9.90</w:t>
            </w:r>
          </w:p>
        </w:tc>
      </w:tr>
      <w:tr w:rsidR="00E8144F" w:rsidRPr="005D10DD" w14:paraId="1748ACF5" w14:textId="77777777" w:rsidTr="007D523A">
        <w:tc>
          <w:tcPr>
            <w:tcW w:w="2016" w:type="pct"/>
            <w:tcBorders>
              <w:top w:val="single" w:sz="4" w:space="0" w:color="auto"/>
              <w:bottom w:val="single" w:sz="4" w:space="0" w:color="auto"/>
            </w:tcBorders>
            <w:vAlign w:val="center"/>
          </w:tcPr>
          <w:p w14:paraId="0272B0EB" w14:textId="77777777" w:rsidR="00E8144F" w:rsidRPr="005D10DD" w:rsidRDefault="00E8144F" w:rsidP="005D10DD">
            <w:pPr>
              <w:ind w:firstLine="0"/>
              <w:jc w:val="left"/>
              <w:rPr>
                <w:rFonts w:cs="Times New Roman"/>
                <w:sz w:val="18"/>
                <w:szCs w:val="18"/>
              </w:rPr>
            </w:pPr>
            <w:r w:rsidRPr="005D10DD">
              <w:rPr>
                <w:rFonts w:cs="Times New Roman"/>
                <w:sz w:val="18"/>
                <w:szCs w:val="18"/>
              </w:rPr>
              <w:t>Construction Phase</w:t>
            </w:r>
          </w:p>
        </w:tc>
        <w:tc>
          <w:tcPr>
            <w:tcW w:w="614" w:type="pct"/>
            <w:tcBorders>
              <w:top w:val="single" w:sz="4" w:space="0" w:color="auto"/>
              <w:bottom w:val="single" w:sz="4" w:space="0" w:color="auto"/>
            </w:tcBorders>
            <w:vAlign w:val="center"/>
          </w:tcPr>
          <w:p w14:paraId="04F9C6C5" w14:textId="77777777" w:rsidR="00E8144F" w:rsidRPr="005D10DD" w:rsidRDefault="00E8144F" w:rsidP="005D10DD">
            <w:pPr>
              <w:ind w:firstLine="0"/>
              <w:jc w:val="center"/>
              <w:rPr>
                <w:rFonts w:cs="Times New Roman"/>
                <w:sz w:val="18"/>
                <w:szCs w:val="18"/>
              </w:rPr>
            </w:pPr>
            <w:r w:rsidRPr="005D10DD">
              <w:rPr>
                <w:rFonts w:cs="Times New Roman"/>
                <w:sz w:val="18"/>
                <w:szCs w:val="18"/>
              </w:rPr>
              <w:t>6.51</w:t>
            </w:r>
          </w:p>
        </w:tc>
        <w:tc>
          <w:tcPr>
            <w:tcW w:w="790" w:type="pct"/>
            <w:tcBorders>
              <w:top w:val="single" w:sz="4" w:space="0" w:color="auto"/>
              <w:bottom w:val="single" w:sz="4" w:space="0" w:color="auto"/>
            </w:tcBorders>
            <w:vAlign w:val="center"/>
          </w:tcPr>
          <w:p w14:paraId="7D4B2B2A" w14:textId="77777777" w:rsidR="00E8144F" w:rsidRPr="005D10DD" w:rsidRDefault="00E8144F" w:rsidP="005D10DD">
            <w:pPr>
              <w:ind w:firstLine="0"/>
              <w:jc w:val="center"/>
              <w:rPr>
                <w:rFonts w:cs="Times New Roman"/>
                <w:sz w:val="18"/>
                <w:szCs w:val="18"/>
              </w:rPr>
            </w:pPr>
            <w:r w:rsidRPr="005D10DD">
              <w:rPr>
                <w:rFonts w:cs="Times New Roman"/>
                <w:sz w:val="18"/>
                <w:szCs w:val="18"/>
              </w:rPr>
              <w:t>1.24</w:t>
            </w:r>
          </w:p>
        </w:tc>
        <w:tc>
          <w:tcPr>
            <w:tcW w:w="789" w:type="pct"/>
            <w:tcBorders>
              <w:top w:val="single" w:sz="4" w:space="0" w:color="auto"/>
              <w:bottom w:val="single" w:sz="4" w:space="0" w:color="auto"/>
            </w:tcBorders>
            <w:vAlign w:val="center"/>
          </w:tcPr>
          <w:p w14:paraId="47C3D28C" w14:textId="77777777" w:rsidR="00E8144F" w:rsidRPr="005D10DD" w:rsidRDefault="00E8144F" w:rsidP="005D10DD">
            <w:pPr>
              <w:ind w:firstLine="0"/>
              <w:jc w:val="center"/>
              <w:rPr>
                <w:rFonts w:cs="Times New Roman"/>
                <w:sz w:val="18"/>
                <w:szCs w:val="18"/>
              </w:rPr>
            </w:pPr>
            <w:r w:rsidRPr="005D10DD">
              <w:rPr>
                <w:rFonts w:cs="Times New Roman"/>
                <w:sz w:val="18"/>
                <w:szCs w:val="18"/>
              </w:rPr>
              <w:t>0.102</w:t>
            </w:r>
          </w:p>
        </w:tc>
        <w:tc>
          <w:tcPr>
            <w:tcW w:w="790" w:type="pct"/>
            <w:tcBorders>
              <w:top w:val="single" w:sz="4" w:space="0" w:color="auto"/>
              <w:bottom w:val="single" w:sz="4" w:space="0" w:color="auto"/>
            </w:tcBorders>
            <w:vAlign w:val="center"/>
          </w:tcPr>
          <w:p w14:paraId="3E712FEF" w14:textId="77777777" w:rsidR="00E8144F" w:rsidRPr="005D10DD" w:rsidRDefault="00E8144F" w:rsidP="005D10DD">
            <w:pPr>
              <w:ind w:firstLine="0"/>
              <w:jc w:val="center"/>
              <w:rPr>
                <w:rFonts w:cs="Times New Roman"/>
                <w:sz w:val="18"/>
                <w:szCs w:val="18"/>
              </w:rPr>
            </w:pPr>
            <w:r w:rsidRPr="005D10DD">
              <w:rPr>
                <w:rFonts w:cs="Times New Roman"/>
                <w:sz w:val="18"/>
                <w:szCs w:val="18"/>
              </w:rPr>
              <w:t>8.26</w:t>
            </w:r>
          </w:p>
        </w:tc>
      </w:tr>
      <w:tr w:rsidR="00982594" w:rsidRPr="005D10DD" w14:paraId="47F21E0B" w14:textId="77777777" w:rsidTr="007D523A">
        <w:tc>
          <w:tcPr>
            <w:tcW w:w="2016" w:type="pct"/>
            <w:tcBorders>
              <w:top w:val="single" w:sz="4" w:space="0" w:color="auto"/>
              <w:bottom w:val="single" w:sz="4" w:space="0" w:color="auto"/>
            </w:tcBorders>
            <w:shd w:val="clear" w:color="auto" w:fill="FFFFFF" w:themeFill="background1"/>
            <w:vAlign w:val="center"/>
          </w:tcPr>
          <w:p w14:paraId="33709E6A" w14:textId="79EA1BC2" w:rsidR="00982594" w:rsidRPr="005D10DD" w:rsidRDefault="00982594" w:rsidP="005D10DD">
            <w:pPr>
              <w:ind w:firstLine="0"/>
              <w:jc w:val="left"/>
              <w:rPr>
                <w:sz w:val="18"/>
                <w:szCs w:val="18"/>
              </w:rPr>
            </w:pPr>
            <w:r>
              <w:rPr>
                <w:sz w:val="18"/>
                <w:szCs w:val="18"/>
              </w:rPr>
              <w:t>Post Construction Phase</w:t>
            </w:r>
          </w:p>
        </w:tc>
        <w:tc>
          <w:tcPr>
            <w:tcW w:w="614" w:type="pct"/>
            <w:tcBorders>
              <w:top w:val="single" w:sz="4" w:space="0" w:color="auto"/>
              <w:bottom w:val="single" w:sz="4" w:space="0" w:color="auto"/>
            </w:tcBorders>
            <w:shd w:val="clear" w:color="auto" w:fill="FFFFFF" w:themeFill="background1"/>
            <w:vAlign w:val="center"/>
          </w:tcPr>
          <w:p w14:paraId="027A1743" w14:textId="77777777" w:rsidR="00982594" w:rsidRPr="005D10DD" w:rsidRDefault="00982594" w:rsidP="005D10DD">
            <w:pPr>
              <w:ind w:firstLine="0"/>
              <w:jc w:val="center"/>
              <w:rPr>
                <w:sz w:val="18"/>
                <w:szCs w:val="18"/>
              </w:rPr>
            </w:pPr>
          </w:p>
        </w:tc>
        <w:tc>
          <w:tcPr>
            <w:tcW w:w="790" w:type="pct"/>
            <w:tcBorders>
              <w:top w:val="single" w:sz="4" w:space="0" w:color="auto"/>
              <w:bottom w:val="single" w:sz="4" w:space="0" w:color="auto"/>
            </w:tcBorders>
            <w:shd w:val="clear" w:color="auto" w:fill="FFFFFF" w:themeFill="background1"/>
            <w:vAlign w:val="center"/>
          </w:tcPr>
          <w:p w14:paraId="20DB1525" w14:textId="77777777" w:rsidR="00982594" w:rsidRPr="005D10DD" w:rsidRDefault="00982594" w:rsidP="005D10DD">
            <w:pPr>
              <w:ind w:firstLine="0"/>
              <w:jc w:val="center"/>
              <w:rPr>
                <w:sz w:val="18"/>
                <w:szCs w:val="18"/>
              </w:rPr>
            </w:pPr>
          </w:p>
        </w:tc>
        <w:tc>
          <w:tcPr>
            <w:tcW w:w="789" w:type="pct"/>
            <w:tcBorders>
              <w:top w:val="single" w:sz="4" w:space="0" w:color="auto"/>
              <w:bottom w:val="single" w:sz="4" w:space="0" w:color="auto"/>
            </w:tcBorders>
            <w:shd w:val="clear" w:color="auto" w:fill="FFFFFF" w:themeFill="background1"/>
            <w:vAlign w:val="center"/>
          </w:tcPr>
          <w:p w14:paraId="0FC701F1" w14:textId="77777777" w:rsidR="00982594" w:rsidRPr="005D10DD" w:rsidRDefault="00982594" w:rsidP="005D10DD">
            <w:pPr>
              <w:ind w:firstLine="0"/>
              <w:jc w:val="center"/>
              <w:rPr>
                <w:sz w:val="18"/>
                <w:szCs w:val="18"/>
              </w:rPr>
            </w:pPr>
          </w:p>
        </w:tc>
        <w:tc>
          <w:tcPr>
            <w:tcW w:w="790" w:type="pct"/>
            <w:tcBorders>
              <w:top w:val="single" w:sz="4" w:space="0" w:color="auto"/>
              <w:bottom w:val="single" w:sz="4" w:space="0" w:color="auto"/>
            </w:tcBorders>
            <w:shd w:val="clear" w:color="auto" w:fill="FFFFFF" w:themeFill="background1"/>
            <w:vAlign w:val="center"/>
          </w:tcPr>
          <w:p w14:paraId="60A22855" w14:textId="77777777" w:rsidR="00982594" w:rsidRPr="005D10DD" w:rsidRDefault="00982594" w:rsidP="005D10DD">
            <w:pPr>
              <w:ind w:firstLine="0"/>
              <w:jc w:val="center"/>
              <w:rPr>
                <w:sz w:val="18"/>
                <w:szCs w:val="18"/>
              </w:rPr>
            </w:pPr>
          </w:p>
        </w:tc>
      </w:tr>
      <w:tr w:rsidR="00E8144F" w:rsidRPr="005D10DD" w14:paraId="56464B67" w14:textId="77777777" w:rsidTr="007D523A">
        <w:tc>
          <w:tcPr>
            <w:tcW w:w="2016" w:type="pct"/>
            <w:tcBorders>
              <w:top w:val="single" w:sz="4" w:space="0" w:color="auto"/>
            </w:tcBorders>
            <w:vAlign w:val="center"/>
          </w:tcPr>
          <w:p w14:paraId="5A1FF145" w14:textId="77AEF588" w:rsidR="00E8144F" w:rsidRPr="005D10DD" w:rsidRDefault="00982594" w:rsidP="005D10DD">
            <w:pPr>
              <w:ind w:firstLine="0"/>
              <w:jc w:val="left"/>
              <w:rPr>
                <w:rFonts w:cs="Times New Roman"/>
                <w:sz w:val="18"/>
                <w:szCs w:val="18"/>
              </w:rPr>
            </w:pPr>
            <w:r>
              <w:rPr>
                <w:rFonts w:cs="Times New Roman"/>
                <w:sz w:val="18"/>
                <w:szCs w:val="18"/>
              </w:rPr>
              <w:t>a.</w:t>
            </w:r>
            <w:r w:rsidR="00B15D99">
              <w:rPr>
                <w:rFonts w:cs="Times New Roman"/>
                <w:sz w:val="18"/>
                <w:szCs w:val="18"/>
              </w:rPr>
              <w:t xml:space="preserve"> </w:t>
            </w:r>
            <w:r w:rsidR="00E8144F" w:rsidRPr="005D10DD">
              <w:rPr>
                <w:rFonts w:cs="Times New Roman"/>
                <w:sz w:val="18"/>
                <w:szCs w:val="18"/>
              </w:rPr>
              <w:t>Visual Inspection</w:t>
            </w:r>
          </w:p>
        </w:tc>
        <w:tc>
          <w:tcPr>
            <w:tcW w:w="614" w:type="pct"/>
            <w:tcBorders>
              <w:top w:val="single" w:sz="4" w:space="0" w:color="auto"/>
            </w:tcBorders>
            <w:vAlign w:val="center"/>
          </w:tcPr>
          <w:p w14:paraId="1677BBBC" w14:textId="77777777" w:rsidR="00E8144F" w:rsidRPr="005D10DD" w:rsidRDefault="00E8144F" w:rsidP="005D10DD">
            <w:pPr>
              <w:ind w:firstLine="0"/>
              <w:jc w:val="center"/>
              <w:rPr>
                <w:rFonts w:cs="Times New Roman"/>
                <w:sz w:val="18"/>
                <w:szCs w:val="18"/>
              </w:rPr>
            </w:pPr>
            <w:r w:rsidRPr="005D10DD">
              <w:rPr>
                <w:rFonts w:cs="Times New Roman"/>
                <w:sz w:val="18"/>
                <w:szCs w:val="18"/>
              </w:rPr>
              <w:t>6.78</w:t>
            </w:r>
          </w:p>
        </w:tc>
        <w:tc>
          <w:tcPr>
            <w:tcW w:w="790" w:type="pct"/>
            <w:tcBorders>
              <w:top w:val="single" w:sz="4" w:space="0" w:color="auto"/>
            </w:tcBorders>
            <w:vAlign w:val="center"/>
          </w:tcPr>
          <w:p w14:paraId="0A69E2B5" w14:textId="77777777" w:rsidR="00E8144F" w:rsidRPr="005D10DD" w:rsidRDefault="00E8144F" w:rsidP="005D10DD">
            <w:pPr>
              <w:ind w:firstLine="0"/>
              <w:jc w:val="center"/>
              <w:rPr>
                <w:rFonts w:cs="Times New Roman"/>
                <w:sz w:val="18"/>
                <w:szCs w:val="18"/>
              </w:rPr>
            </w:pPr>
            <w:r w:rsidRPr="005D10DD">
              <w:rPr>
                <w:rFonts w:cs="Times New Roman"/>
                <w:sz w:val="18"/>
                <w:szCs w:val="18"/>
              </w:rPr>
              <w:t>1.24</w:t>
            </w:r>
          </w:p>
        </w:tc>
        <w:tc>
          <w:tcPr>
            <w:tcW w:w="789" w:type="pct"/>
            <w:tcBorders>
              <w:top w:val="single" w:sz="4" w:space="0" w:color="auto"/>
            </w:tcBorders>
            <w:vAlign w:val="center"/>
          </w:tcPr>
          <w:p w14:paraId="1B2AF134" w14:textId="77777777" w:rsidR="00E8144F" w:rsidRPr="005D10DD" w:rsidRDefault="00E8144F" w:rsidP="005D10DD">
            <w:pPr>
              <w:ind w:firstLine="0"/>
              <w:jc w:val="center"/>
              <w:rPr>
                <w:rFonts w:cs="Times New Roman"/>
                <w:sz w:val="18"/>
                <w:szCs w:val="18"/>
              </w:rPr>
            </w:pPr>
            <w:r w:rsidRPr="005D10DD">
              <w:rPr>
                <w:rFonts w:cs="Times New Roman"/>
                <w:sz w:val="18"/>
                <w:szCs w:val="18"/>
              </w:rPr>
              <w:t>0.156</w:t>
            </w:r>
          </w:p>
        </w:tc>
        <w:tc>
          <w:tcPr>
            <w:tcW w:w="790" w:type="pct"/>
            <w:tcBorders>
              <w:top w:val="single" w:sz="4" w:space="0" w:color="auto"/>
            </w:tcBorders>
            <w:vAlign w:val="center"/>
          </w:tcPr>
          <w:p w14:paraId="59741B40" w14:textId="77777777" w:rsidR="00E8144F" w:rsidRPr="005D10DD" w:rsidRDefault="00E8144F" w:rsidP="005D10DD">
            <w:pPr>
              <w:ind w:firstLine="0"/>
              <w:jc w:val="center"/>
              <w:rPr>
                <w:rFonts w:cs="Times New Roman"/>
                <w:sz w:val="18"/>
                <w:szCs w:val="18"/>
              </w:rPr>
            </w:pPr>
            <w:r w:rsidRPr="005D10DD">
              <w:rPr>
                <w:rFonts w:cs="Times New Roman"/>
                <w:sz w:val="18"/>
                <w:szCs w:val="18"/>
              </w:rPr>
              <w:t>12.61</w:t>
            </w:r>
          </w:p>
        </w:tc>
      </w:tr>
      <w:tr w:rsidR="00E8144F" w:rsidRPr="005D10DD" w14:paraId="65F251E3" w14:textId="77777777" w:rsidTr="007D523A">
        <w:tc>
          <w:tcPr>
            <w:tcW w:w="2016" w:type="pct"/>
            <w:vAlign w:val="center"/>
          </w:tcPr>
          <w:p w14:paraId="61C7907F" w14:textId="3CA3E5DA" w:rsidR="00E8144F" w:rsidRPr="005D10DD" w:rsidRDefault="00982594" w:rsidP="005D10DD">
            <w:pPr>
              <w:ind w:firstLine="0"/>
              <w:jc w:val="left"/>
              <w:rPr>
                <w:rFonts w:cs="Times New Roman"/>
                <w:sz w:val="18"/>
                <w:szCs w:val="18"/>
              </w:rPr>
            </w:pPr>
            <w:r>
              <w:rPr>
                <w:rFonts w:cs="Times New Roman"/>
                <w:sz w:val="18"/>
                <w:szCs w:val="18"/>
              </w:rPr>
              <w:t xml:space="preserve">b. </w:t>
            </w:r>
            <w:r w:rsidR="00E8144F" w:rsidRPr="005D10DD">
              <w:rPr>
                <w:rFonts w:cs="Times New Roman"/>
                <w:sz w:val="18"/>
                <w:szCs w:val="18"/>
              </w:rPr>
              <w:t>Non-Destructive Evaluation</w:t>
            </w:r>
          </w:p>
        </w:tc>
        <w:tc>
          <w:tcPr>
            <w:tcW w:w="614" w:type="pct"/>
            <w:vAlign w:val="center"/>
          </w:tcPr>
          <w:p w14:paraId="3FFF4F6C" w14:textId="77777777" w:rsidR="00E8144F" w:rsidRPr="005D10DD" w:rsidRDefault="00E8144F" w:rsidP="005D10DD">
            <w:pPr>
              <w:ind w:firstLine="0"/>
              <w:jc w:val="center"/>
              <w:rPr>
                <w:rFonts w:cs="Times New Roman"/>
                <w:sz w:val="18"/>
                <w:szCs w:val="18"/>
              </w:rPr>
            </w:pPr>
            <w:r w:rsidRPr="005D10DD">
              <w:rPr>
                <w:rFonts w:cs="Times New Roman"/>
                <w:sz w:val="18"/>
                <w:szCs w:val="18"/>
              </w:rPr>
              <w:t>6.56</w:t>
            </w:r>
          </w:p>
        </w:tc>
        <w:tc>
          <w:tcPr>
            <w:tcW w:w="790" w:type="pct"/>
            <w:vAlign w:val="center"/>
          </w:tcPr>
          <w:p w14:paraId="4096C2AB" w14:textId="77777777" w:rsidR="00E8144F" w:rsidRPr="005D10DD" w:rsidRDefault="00E8144F" w:rsidP="005D10DD">
            <w:pPr>
              <w:ind w:firstLine="0"/>
              <w:jc w:val="center"/>
              <w:rPr>
                <w:rFonts w:cs="Times New Roman"/>
                <w:sz w:val="18"/>
                <w:szCs w:val="18"/>
              </w:rPr>
            </w:pPr>
            <w:r w:rsidRPr="005D10DD">
              <w:rPr>
                <w:rFonts w:cs="Times New Roman"/>
                <w:sz w:val="18"/>
                <w:szCs w:val="18"/>
              </w:rPr>
              <w:t>1.24</w:t>
            </w:r>
          </w:p>
        </w:tc>
        <w:tc>
          <w:tcPr>
            <w:tcW w:w="789" w:type="pct"/>
            <w:vAlign w:val="center"/>
          </w:tcPr>
          <w:p w14:paraId="72B6EB31" w14:textId="77777777" w:rsidR="00E8144F" w:rsidRPr="005D10DD" w:rsidRDefault="00E8144F" w:rsidP="005D10DD">
            <w:pPr>
              <w:ind w:firstLine="0"/>
              <w:jc w:val="center"/>
              <w:rPr>
                <w:rFonts w:cs="Times New Roman"/>
                <w:sz w:val="18"/>
                <w:szCs w:val="18"/>
              </w:rPr>
            </w:pPr>
            <w:r w:rsidRPr="005D10DD">
              <w:rPr>
                <w:rFonts w:cs="Times New Roman"/>
                <w:sz w:val="18"/>
                <w:szCs w:val="18"/>
              </w:rPr>
              <w:t>0.113</w:t>
            </w:r>
          </w:p>
        </w:tc>
        <w:tc>
          <w:tcPr>
            <w:tcW w:w="790" w:type="pct"/>
            <w:vAlign w:val="center"/>
          </w:tcPr>
          <w:p w14:paraId="6E69A52B" w14:textId="77777777" w:rsidR="00E8144F" w:rsidRPr="005D10DD" w:rsidRDefault="00E8144F" w:rsidP="005D10DD">
            <w:pPr>
              <w:ind w:firstLine="0"/>
              <w:jc w:val="center"/>
              <w:rPr>
                <w:rFonts w:cs="Times New Roman"/>
                <w:sz w:val="18"/>
                <w:szCs w:val="18"/>
              </w:rPr>
            </w:pPr>
            <w:r w:rsidRPr="005D10DD">
              <w:rPr>
                <w:rFonts w:cs="Times New Roman"/>
                <w:sz w:val="18"/>
                <w:szCs w:val="18"/>
              </w:rPr>
              <w:t>9.12</w:t>
            </w:r>
          </w:p>
        </w:tc>
      </w:tr>
      <w:tr w:rsidR="00E8144F" w:rsidRPr="005D10DD" w14:paraId="2C7DBEDA" w14:textId="77777777" w:rsidTr="007D523A">
        <w:tc>
          <w:tcPr>
            <w:tcW w:w="2016" w:type="pct"/>
            <w:vAlign w:val="center"/>
          </w:tcPr>
          <w:p w14:paraId="1C3C67A1" w14:textId="5AE915C7" w:rsidR="00E8144F" w:rsidRPr="005D10DD" w:rsidRDefault="00982594" w:rsidP="005D10DD">
            <w:pPr>
              <w:ind w:firstLine="0"/>
              <w:jc w:val="left"/>
              <w:rPr>
                <w:rFonts w:cs="Times New Roman"/>
                <w:sz w:val="18"/>
                <w:szCs w:val="18"/>
              </w:rPr>
            </w:pPr>
            <w:r>
              <w:rPr>
                <w:rFonts w:cs="Times New Roman"/>
                <w:sz w:val="18"/>
                <w:szCs w:val="18"/>
              </w:rPr>
              <w:t xml:space="preserve">c. </w:t>
            </w:r>
            <w:r w:rsidR="00E8144F" w:rsidRPr="005D10DD">
              <w:rPr>
                <w:rFonts w:cs="Times New Roman"/>
                <w:sz w:val="18"/>
                <w:szCs w:val="18"/>
              </w:rPr>
              <w:t>Numerical Simulations</w:t>
            </w:r>
          </w:p>
        </w:tc>
        <w:tc>
          <w:tcPr>
            <w:tcW w:w="614" w:type="pct"/>
            <w:vAlign w:val="center"/>
          </w:tcPr>
          <w:p w14:paraId="5460501F" w14:textId="77777777" w:rsidR="00E8144F" w:rsidRPr="005D10DD" w:rsidRDefault="00E8144F" w:rsidP="005D10DD">
            <w:pPr>
              <w:ind w:firstLine="0"/>
              <w:jc w:val="center"/>
              <w:rPr>
                <w:rFonts w:cs="Times New Roman"/>
                <w:sz w:val="18"/>
                <w:szCs w:val="18"/>
              </w:rPr>
            </w:pPr>
            <w:r w:rsidRPr="005D10DD">
              <w:rPr>
                <w:rFonts w:cs="Times New Roman"/>
                <w:sz w:val="18"/>
                <w:szCs w:val="18"/>
              </w:rPr>
              <w:t>6.56</w:t>
            </w:r>
          </w:p>
        </w:tc>
        <w:tc>
          <w:tcPr>
            <w:tcW w:w="790" w:type="pct"/>
            <w:vAlign w:val="center"/>
          </w:tcPr>
          <w:p w14:paraId="0DEE9DCA" w14:textId="77777777" w:rsidR="00E8144F" w:rsidRPr="005D10DD" w:rsidRDefault="00E8144F" w:rsidP="005D10DD">
            <w:pPr>
              <w:ind w:firstLine="0"/>
              <w:jc w:val="center"/>
              <w:rPr>
                <w:rFonts w:cs="Times New Roman"/>
                <w:sz w:val="18"/>
                <w:szCs w:val="18"/>
              </w:rPr>
            </w:pPr>
            <w:r w:rsidRPr="005D10DD">
              <w:rPr>
                <w:rFonts w:cs="Times New Roman"/>
                <w:sz w:val="18"/>
                <w:szCs w:val="18"/>
              </w:rPr>
              <w:t>1.24</w:t>
            </w:r>
          </w:p>
        </w:tc>
        <w:tc>
          <w:tcPr>
            <w:tcW w:w="789" w:type="pct"/>
            <w:vAlign w:val="center"/>
          </w:tcPr>
          <w:p w14:paraId="162810C6" w14:textId="77777777" w:rsidR="00E8144F" w:rsidRPr="005D10DD" w:rsidRDefault="00E8144F" w:rsidP="005D10DD">
            <w:pPr>
              <w:ind w:firstLine="0"/>
              <w:jc w:val="center"/>
              <w:rPr>
                <w:rFonts w:cs="Times New Roman"/>
                <w:sz w:val="18"/>
                <w:szCs w:val="18"/>
              </w:rPr>
            </w:pPr>
            <w:r w:rsidRPr="005D10DD">
              <w:rPr>
                <w:rFonts w:cs="Times New Roman"/>
                <w:sz w:val="18"/>
                <w:szCs w:val="18"/>
              </w:rPr>
              <w:t>0.112</w:t>
            </w:r>
          </w:p>
        </w:tc>
        <w:tc>
          <w:tcPr>
            <w:tcW w:w="790" w:type="pct"/>
            <w:vAlign w:val="center"/>
          </w:tcPr>
          <w:p w14:paraId="1A182CDC" w14:textId="77777777" w:rsidR="00E8144F" w:rsidRPr="005D10DD" w:rsidRDefault="00E8144F" w:rsidP="005D10DD">
            <w:pPr>
              <w:ind w:firstLine="0"/>
              <w:jc w:val="center"/>
              <w:rPr>
                <w:rFonts w:cs="Times New Roman"/>
                <w:sz w:val="18"/>
                <w:szCs w:val="18"/>
              </w:rPr>
            </w:pPr>
            <w:r w:rsidRPr="005D10DD">
              <w:rPr>
                <w:rFonts w:cs="Times New Roman"/>
                <w:sz w:val="18"/>
                <w:szCs w:val="18"/>
              </w:rPr>
              <w:t>9.00</w:t>
            </w:r>
          </w:p>
        </w:tc>
      </w:tr>
      <w:tr w:rsidR="00E8144F" w:rsidRPr="005D10DD" w14:paraId="5F10D1F5" w14:textId="77777777" w:rsidTr="007D523A">
        <w:tc>
          <w:tcPr>
            <w:tcW w:w="2016" w:type="pct"/>
            <w:tcBorders>
              <w:bottom w:val="single" w:sz="8" w:space="0" w:color="auto"/>
            </w:tcBorders>
            <w:vAlign w:val="center"/>
          </w:tcPr>
          <w:p w14:paraId="6F0F7D3F" w14:textId="23C5DA9F" w:rsidR="00E8144F" w:rsidRPr="005D10DD" w:rsidRDefault="00982594" w:rsidP="005D10DD">
            <w:pPr>
              <w:ind w:firstLine="0"/>
              <w:jc w:val="left"/>
              <w:rPr>
                <w:rFonts w:cs="Times New Roman"/>
                <w:sz w:val="18"/>
                <w:szCs w:val="18"/>
              </w:rPr>
            </w:pPr>
            <w:r>
              <w:rPr>
                <w:rFonts w:cs="Times New Roman"/>
                <w:sz w:val="18"/>
                <w:szCs w:val="18"/>
              </w:rPr>
              <w:t xml:space="preserve">d. </w:t>
            </w:r>
            <w:r w:rsidR="00E8144F" w:rsidRPr="005D10DD">
              <w:rPr>
                <w:rFonts w:cs="Times New Roman"/>
                <w:sz w:val="18"/>
                <w:szCs w:val="18"/>
              </w:rPr>
              <w:t>Repair Recommendation</w:t>
            </w:r>
          </w:p>
        </w:tc>
        <w:tc>
          <w:tcPr>
            <w:tcW w:w="614" w:type="pct"/>
            <w:tcBorders>
              <w:bottom w:val="single" w:sz="8" w:space="0" w:color="auto"/>
            </w:tcBorders>
            <w:vAlign w:val="center"/>
          </w:tcPr>
          <w:p w14:paraId="4044C1BD" w14:textId="77777777" w:rsidR="00E8144F" w:rsidRPr="005D10DD" w:rsidRDefault="00E8144F" w:rsidP="005D10DD">
            <w:pPr>
              <w:ind w:firstLine="0"/>
              <w:jc w:val="center"/>
              <w:rPr>
                <w:rFonts w:cs="Times New Roman"/>
                <w:sz w:val="18"/>
                <w:szCs w:val="18"/>
              </w:rPr>
            </w:pPr>
            <w:r w:rsidRPr="005D10DD">
              <w:rPr>
                <w:rFonts w:cs="Times New Roman"/>
                <w:sz w:val="18"/>
                <w:szCs w:val="18"/>
              </w:rPr>
              <w:t>9.66</w:t>
            </w:r>
          </w:p>
        </w:tc>
        <w:tc>
          <w:tcPr>
            <w:tcW w:w="790" w:type="pct"/>
            <w:tcBorders>
              <w:bottom w:val="single" w:sz="8" w:space="0" w:color="auto"/>
            </w:tcBorders>
            <w:vAlign w:val="center"/>
          </w:tcPr>
          <w:p w14:paraId="28C94036" w14:textId="77777777" w:rsidR="00E8144F" w:rsidRPr="005D10DD" w:rsidRDefault="00E8144F" w:rsidP="005D10DD">
            <w:pPr>
              <w:ind w:firstLine="0"/>
              <w:jc w:val="center"/>
              <w:rPr>
                <w:rFonts w:cs="Times New Roman"/>
                <w:sz w:val="18"/>
                <w:szCs w:val="18"/>
              </w:rPr>
            </w:pPr>
            <w:r w:rsidRPr="005D10DD">
              <w:rPr>
                <w:rFonts w:cs="Times New Roman"/>
                <w:sz w:val="18"/>
                <w:szCs w:val="18"/>
              </w:rPr>
              <w:t>1.41</w:t>
            </w:r>
          </w:p>
        </w:tc>
        <w:tc>
          <w:tcPr>
            <w:tcW w:w="789" w:type="pct"/>
            <w:tcBorders>
              <w:bottom w:val="single" w:sz="8" w:space="0" w:color="auto"/>
            </w:tcBorders>
            <w:vAlign w:val="center"/>
          </w:tcPr>
          <w:p w14:paraId="4BB11535" w14:textId="77777777" w:rsidR="00E8144F" w:rsidRPr="005D10DD" w:rsidRDefault="00E8144F" w:rsidP="005D10DD">
            <w:pPr>
              <w:ind w:firstLine="0"/>
              <w:jc w:val="center"/>
              <w:rPr>
                <w:rFonts w:cs="Times New Roman"/>
                <w:sz w:val="18"/>
                <w:szCs w:val="18"/>
              </w:rPr>
            </w:pPr>
            <w:r w:rsidRPr="005D10DD">
              <w:rPr>
                <w:rFonts w:cs="Times New Roman"/>
                <w:sz w:val="18"/>
                <w:szCs w:val="18"/>
              </w:rPr>
              <w:t>0.237</w:t>
            </w:r>
          </w:p>
        </w:tc>
        <w:tc>
          <w:tcPr>
            <w:tcW w:w="790" w:type="pct"/>
            <w:tcBorders>
              <w:bottom w:val="single" w:sz="8" w:space="0" w:color="auto"/>
            </w:tcBorders>
            <w:vAlign w:val="center"/>
          </w:tcPr>
          <w:p w14:paraId="638777EE" w14:textId="77777777" w:rsidR="00E8144F" w:rsidRPr="005D10DD" w:rsidRDefault="00E8144F" w:rsidP="005D10DD">
            <w:pPr>
              <w:ind w:firstLine="0"/>
              <w:jc w:val="center"/>
              <w:rPr>
                <w:rFonts w:cs="Times New Roman"/>
                <w:sz w:val="18"/>
                <w:szCs w:val="18"/>
              </w:rPr>
            </w:pPr>
            <w:r w:rsidRPr="005D10DD">
              <w:rPr>
                <w:rFonts w:cs="Times New Roman"/>
                <w:sz w:val="18"/>
                <w:szCs w:val="18"/>
              </w:rPr>
              <w:t>16.78</w:t>
            </w:r>
          </w:p>
        </w:tc>
      </w:tr>
    </w:tbl>
    <w:p w14:paraId="23537E72" w14:textId="77777777" w:rsidR="00E8144F" w:rsidRPr="00AC5D82" w:rsidRDefault="00E8144F" w:rsidP="00E8144F">
      <w:r w:rsidRPr="00F34A41">
        <w:t xml:space="preserve"> </w:t>
      </w:r>
    </w:p>
    <w:p w14:paraId="5526981B" w14:textId="0DE169C8" w:rsidR="00E8144F" w:rsidRDefault="00E8144F" w:rsidP="00CA5241">
      <w:pPr>
        <w:ind w:firstLine="0"/>
      </w:pPr>
      <w:r w:rsidRPr="00FC6D72">
        <w:t xml:space="preserve">The visual inspection and repair recommendation sector </w:t>
      </w:r>
      <w:r w:rsidR="009679C0" w:rsidRPr="00FC6D72">
        <w:t>exhibit</w:t>
      </w:r>
      <w:r w:rsidRPr="00FC6D72">
        <w:t xml:space="preserve"> </w:t>
      </w:r>
      <w:r w:rsidR="007D523A">
        <w:t xml:space="preserve">a </w:t>
      </w:r>
      <w:r w:rsidRPr="00FC6D72">
        <w:t>consistency ratio greater than 10%, indicating an inconsistency in the pairwise comparison and indirectly suggesting higher risks in the relative comparison. Consequently, control measures must be implemented to mitigate risks in these sectors, with the aim of limiting the consistency ratio to 10%.</w:t>
      </w:r>
      <w:r w:rsidR="00982594">
        <w:t xml:space="preserve"> The corresponding control measures are recommended </w:t>
      </w:r>
      <w:r w:rsidR="007D523A">
        <w:t>for critical risks identified through comparative study</w:t>
      </w:r>
      <w:r w:rsidR="00982594">
        <w:t>.</w:t>
      </w:r>
    </w:p>
    <w:p w14:paraId="44A62298" w14:textId="77777777" w:rsidR="00FC6D72" w:rsidRDefault="00FC6D72" w:rsidP="00FC6D72">
      <w:pPr>
        <w:pStyle w:val="heading1"/>
      </w:pPr>
      <w:r>
        <w:t>Comparative Study</w:t>
      </w:r>
    </w:p>
    <w:p w14:paraId="3489F271" w14:textId="72232CBB" w:rsidR="00FC6D72" w:rsidRDefault="00FC6D72" w:rsidP="00FC6D72">
      <w:pPr>
        <w:ind w:firstLine="0"/>
      </w:pPr>
      <w:r>
        <w:t xml:space="preserve">Sector-wise prioritized risks and the outcomes of risk assessments using the Risk Matrix and AHP are compared in </w:t>
      </w:r>
      <w:r w:rsidR="00B15D99">
        <w:fldChar w:fldCharType="begin"/>
      </w:r>
      <w:r w:rsidR="00B15D99">
        <w:instrText xml:space="preserve"> REF _Ref174486931 \h </w:instrText>
      </w:r>
      <w:r w:rsidR="00B15D99">
        <w:fldChar w:fldCharType="separate"/>
      </w:r>
      <w:r w:rsidR="00B15D99">
        <w:rPr>
          <w:b/>
        </w:rPr>
        <w:t xml:space="preserve">Table </w:t>
      </w:r>
      <w:r w:rsidR="00B15D99">
        <w:rPr>
          <w:b/>
          <w:noProof/>
        </w:rPr>
        <w:t>4</w:t>
      </w:r>
      <w:r w:rsidR="00B15D99">
        <w:fldChar w:fldCharType="end"/>
      </w:r>
      <w:r>
        <w:t>. This comparative investigation provides insights into the critical risks encountered or anticipated at the site and identifies the most suitable risk assessment methodology.</w:t>
      </w:r>
    </w:p>
    <w:p w14:paraId="2B26AEFF" w14:textId="4A77FDB7" w:rsidR="009679C0" w:rsidRPr="00FC6D72" w:rsidRDefault="009679C0" w:rsidP="009679C0">
      <w:pPr>
        <w:ind w:firstLine="0"/>
      </w:pPr>
      <w:r>
        <w:tab/>
      </w:r>
      <w:r w:rsidRPr="00FC6D72">
        <w:t>In the pre-construction phase, both the Risk Matrix and AHP identified regulatory and compliance risks, land acquisition, inappropriate technology adoption, and unrealistic project schedules as significant risks. However, the Risk Matrix additionally highlighted financial risk and inadequate handling of social issues. In contrast, the AHP identified improper surveying and project clearance delays as critical risks. This discrepancy indicates that although both methods recognize key regulatory and scheduling issues, the Risk Matrix captures broader financial and social concerns, whereas the AHP emphasizes specific procedural delays and surveying issues.</w:t>
      </w:r>
    </w:p>
    <w:p w14:paraId="06142D3B" w14:textId="77777777" w:rsidR="009679C0" w:rsidRPr="00D70AF2" w:rsidRDefault="009679C0" w:rsidP="009679C0">
      <w:r w:rsidRPr="00D70AF2">
        <w:t xml:space="preserve">During the construction phase, AHP prioritizes supply chain risk over financial risk, </w:t>
      </w:r>
      <w:r>
        <w:t>which is in line</w:t>
      </w:r>
      <w:r w:rsidRPr="00D70AF2">
        <w:t xml:space="preserve"> with the forensic investigation</w:t>
      </w:r>
      <w:r>
        <w:t>’</w:t>
      </w:r>
      <w:r w:rsidRPr="00D70AF2">
        <w:t xml:space="preserve">s conclusion that there is a possibility of utilizing poor-quality materials. Despite this, the overall perspective from the Risk </w:t>
      </w:r>
      <w:r w:rsidRPr="00D70AF2">
        <w:lastRenderedPageBreak/>
        <w:t xml:space="preserve">Matrix approach also aligns with AHP. Both approaches prioritized operational risk, </w:t>
      </w:r>
      <w:r>
        <w:t xml:space="preserve">as </w:t>
      </w:r>
      <w:r w:rsidRPr="00D70AF2">
        <w:t>evidenced by on-site poor construction practices.</w:t>
      </w:r>
    </w:p>
    <w:p w14:paraId="4F17D393" w14:textId="547E5053" w:rsidR="009679C0" w:rsidRPr="00D70AF2" w:rsidRDefault="009679C0" w:rsidP="009679C0">
      <w:r w:rsidRPr="00D70AF2">
        <w:t xml:space="preserve">In the post-construction phase, </w:t>
      </w:r>
      <w:r>
        <w:t xml:space="preserve">the </w:t>
      </w:r>
      <w:r w:rsidRPr="00D70AF2">
        <w:t xml:space="preserve">AHP prioritizes risks in a systematic and chronological </w:t>
      </w:r>
      <w:r>
        <w:t>manner</w:t>
      </w:r>
      <w:r w:rsidRPr="00D70AF2">
        <w:t xml:space="preserve">. Due to accessibility limitations, not all distress data </w:t>
      </w:r>
      <w:r>
        <w:t>can</w:t>
      </w:r>
      <w:r w:rsidRPr="00D70AF2">
        <w:t xml:space="preserve"> be accessed, leading to inaccurate material properties. Consequently, numerical analysis with inaccurate material strength results in insufficient reinforcement details</w:t>
      </w:r>
      <w:r>
        <w:t xml:space="preserve"> and</w:t>
      </w:r>
      <w:r w:rsidRPr="00D70AF2">
        <w:t xml:space="preserve">, </w:t>
      </w:r>
      <w:r w:rsidR="00D1629C">
        <w:t xml:space="preserve">poor </w:t>
      </w:r>
      <w:r w:rsidRPr="00D70AF2">
        <w:t xml:space="preserve">subjective interpretation. This inaccurate root cause interpretation and repair work </w:t>
      </w:r>
      <w:r>
        <w:t>will</w:t>
      </w:r>
      <w:r w:rsidRPr="00D70AF2">
        <w:t xml:space="preserve"> not stabilize the structure </w:t>
      </w:r>
      <w:r>
        <w:t xml:space="preserve">in the </w:t>
      </w:r>
      <w:r w:rsidR="007D523A">
        <w:t>long term</w:t>
      </w:r>
      <w:r w:rsidRPr="00D70AF2">
        <w:t xml:space="preserve">, potentially leading to recurrent </w:t>
      </w:r>
      <w:r w:rsidR="007D523A">
        <w:t>distress</w:t>
      </w:r>
      <w:r w:rsidRPr="00D70AF2">
        <w:t>. However, operational risk</w:t>
      </w:r>
      <w:r>
        <w:t>s</w:t>
      </w:r>
      <w:r w:rsidRPr="00D70AF2">
        <w:t xml:space="preserve"> should be noted, as there might be a chance of poor construction practices similar to those in the construction phase. This systemic interpretation directly leads to budget overruns </w:t>
      </w:r>
      <w:r>
        <w:t>that result</w:t>
      </w:r>
      <w:r w:rsidRPr="00D70AF2">
        <w:t xml:space="preserve"> in financial risks and </w:t>
      </w:r>
      <w:r>
        <w:t>are</w:t>
      </w:r>
      <w:r w:rsidRPr="00D70AF2">
        <w:t xml:space="preserve"> indirectly linked to human error. The systematic prioritization from AHP is also highlighted through the Risk Matrix approach but in a broader manner, such as inaccurate data due to accessibility limitations resulting in financial issues. Although the Risk Matrix approach additionally prioritizes overlooking alternatives and </w:t>
      </w:r>
      <w:r>
        <w:t xml:space="preserve">the </w:t>
      </w:r>
      <w:r w:rsidRPr="00D70AF2">
        <w:t>interruption of traffic flow, these issues indicate optimal repair works and on-site challenges from a broader perspective.</w:t>
      </w:r>
    </w:p>
    <w:p w14:paraId="601C8F82" w14:textId="7CF0D162" w:rsidR="00FC6D72" w:rsidRDefault="004944C5" w:rsidP="004944C5">
      <w:pPr>
        <w:pStyle w:val="tablecaption"/>
        <w:jc w:val="both"/>
      </w:pPr>
      <w:bookmarkStart w:id="8" w:name="_Ref174486931"/>
      <w:r>
        <w:rPr>
          <w:b/>
        </w:rPr>
        <w:t xml:space="preserve">Table </w:t>
      </w:r>
      <w:r>
        <w:rPr>
          <w:b/>
        </w:rPr>
        <w:fldChar w:fldCharType="begin"/>
      </w:r>
      <w:r>
        <w:rPr>
          <w:b/>
        </w:rPr>
        <w:instrText xml:space="preserve"> SEQ "Table" \* MERGEFORMAT </w:instrText>
      </w:r>
      <w:r>
        <w:rPr>
          <w:b/>
        </w:rPr>
        <w:fldChar w:fldCharType="separate"/>
      </w:r>
      <w:r w:rsidR="007D523A">
        <w:rPr>
          <w:b/>
          <w:noProof/>
        </w:rPr>
        <w:t>4</w:t>
      </w:r>
      <w:r>
        <w:rPr>
          <w:b/>
        </w:rPr>
        <w:fldChar w:fldCharType="end"/>
      </w:r>
      <w:bookmarkEnd w:id="8"/>
      <w:r>
        <w:rPr>
          <w:b/>
        </w:rPr>
        <w:t>.</w:t>
      </w:r>
      <w:r>
        <w:t xml:space="preserve"> </w:t>
      </w:r>
      <w:r w:rsidR="007D523A">
        <w:t>Sector-wise</w:t>
      </w:r>
      <w:r w:rsidR="00FC6D72">
        <w:t xml:space="preserve"> comparison </w:t>
      </w:r>
      <w:r>
        <w:t>for prioritized</w:t>
      </w:r>
      <w:r w:rsidR="00D50725">
        <w:t xml:space="preserve"> global risks</w:t>
      </w:r>
      <w:r w:rsidR="00FC6D72">
        <w:t xml:space="preserve"> through Risk matrix and AHP.</w:t>
      </w:r>
    </w:p>
    <w:tbl>
      <w:tblPr>
        <w:tblW w:w="5000" w:type="pct"/>
        <w:tblLayout w:type="fixed"/>
        <w:tblLook w:val="04A0" w:firstRow="1" w:lastRow="0" w:firstColumn="1" w:lastColumn="0" w:noHBand="0" w:noVBand="1"/>
      </w:tblPr>
      <w:tblGrid>
        <w:gridCol w:w="1588"/>
        <w:gridCol w:w="2665"/>
        <w:gridCol w:w="2665"/>
      </w:tblGrid>
      <w:tr w:rsidR="00FC6D72" w:rsidRPr="005D10DD" w14:paraId="0C22161D" w14:textId="77777777" w:rsidTr="005D10DD">
        <w:trPr>
          <w:trHeight w:val="288"/>
        </w:trPr>
        <w:tc>
          <w:tcPr>
            <w:tcW w:w="1148" w:type="pct"/>
            <w:tcBorders>
              <w:top w:val="single" w:sz="12" w:space="0" w:color="auto"/>
              <w:left w:val="nil"/>
              <w:bottom w:val="single" w:sz="8" w:space="0" w:color="auto"/>
              <w:right w:val="nil"/>
            </w:tcBorders>
            <w:shd w:val="clear" w:color="auto" w:fill="auto"/>
            <w:noWrap/>
            <w:vAlign w:val="center"/>
            <w:hideMark/>
          </w:tcPr>
          <w:p w14:paraId="42BA57A7" w14:textId="77777777" w:rsidR="00FC6D72" w:rsidRPr="00CA5241" w:rsidRDefault="00FC6D72" w:rsidP="00CA5241">
            <w:pPr>
              <w:spacing w:line="240" w:lineRule="auto"/>
              <w:ind w:firstLine="0"/>
              <w:rPr>
                <w:color w:val="000000"/>
                <w:sz w:val="18"/>
                <w:szCs w:val="18"/>
                <w:lang w:val="en-IN" w:eastAsia="en-IN"/>
              </w:rPr>
            </w:pPr>
            <w:r w:rsidRPr="00CA5241">
              <w:rPr>
                <w:color w:val="000000"/>
                <w:sz w:val="18"/>
                <w:szCs w:val="18"/>
                <w:lang w:val="en-IN" w:eastAsia="en-IN"/>
              </w:rPr>
              <w:t>Phase</w:t>
            </w:r>
          </w:p>
        </w:tc>
        <w:tc>
          <w:tcPr>
            <w:tcW w:w="1926" w:type="pct"/>
            <w:tcBorders>
              <w:top w:val="single" w:sz="12" w:space="0" w:color="auto"/>
              <w:left w:val="nil"/>
              <w:bottom w:val="single" w:sz="8" w:space="0" w:color="auto"/>
              <w:right w:val="nil"/>
            </w:tcBorders>
            <w:shd w:val="clear" w:color="auto" w:fill="auto"/>
            <w:noWrap/>
            <w:vAlign w:val="center"/>
            <w:hideMark/>
          </w:tcPr>
          <w:p w14:paraId="01C16AF4" w14:textId="77777777" w:rsidR="00FC6D72" w:rsidRPr="00CA5241" w:rsidRDefault="00FC6D72" w:rsidP="00CA5241">
            <w:pPr>
              <w:spacing w:line="240" w:lineRule="auto"/>
              <w:ind w:firstLine="0"/>
              <w:rPr>
                <w:color w:val="000000"/>
                <w:sz w:val="18"/>
                <w:szCs w:val="18"/>
                <w:lang w:val="en-IN" w:eastAsia="en-IN"/>
              </w:rPr>
            </w:pPr>
            <w:r w:rsidRPr="00CA5241">
              <w:rPr>
                <w:color w:val="000000"/>
                <w:sz w:val="18"/>
                <w:szCs w:val="18"/>
                <w:lang w:val="en-IN" w:eastAsia="en-IN"/>
              </w:rPr>
              <w:t>Risk Matrix Approach</w:t>
            </w:r>
          </w:p>
        </w:tc>
        <w:tc>
          <w:tcPr>
            <w:tcW w:w="1926" w:type="pct"/>
            <w:tcBorders>
              <w:top w:val="single" w:sz="12" w:space="0" w:color="auto"/>
              <w:left w:val="nil"/>
              <w:bottom w:val="single" w:sz="8" w:space="0" w:color="auto"/>
              <w:right w:val="nil"/>
            </w:tcBorders>
            <w:shd w:val="clear" w:color="auto" w:fill="auto"/>
            <w:noWrap/>
            <w:vAlign w:val="center"/>
            <w:hideMark/>
          </w:tcPr>
          <w:p w14:paraId="7430B87A" w14:textId="784D3204" w:rsidR="00FC6D72" w:rsidRPr="00CA5241" w:rsidRDefault="00FC6D72" w:rsidP="00CA5241">
            <w:pPr>
              <w:spacing w:line="240" w:lineRule="auto"/>
              <w:ind w:firstLine="0"/>
              <w:rPr>
                <w:color w:val="000000"/>
                <w:sz w:val="18"/>
                <w:szCs w:val="18"/>
                <w:lang w:val="en-IN" w:eastAsia="en-IN"/>
              </w:rPr>
            </w:pPr>
            <w:r w:rsidRPr="00CA5241">
              <w:rPr>
                <w:color w:val="000000"/>
                <w:sz w:val="18"/>
                <w:szCs w:val="18"/>
                <w:lang w:val="en-IN" w:eastAsia="en-IN"/>
              </w:rPr>
              <w:t xml:space="preserve">AHP </w:t>
            </w:r>
          </w:p>
        </w:tc>
      </w:tr>
      <w:tr w:rsidR="00FC6D72" w:rsidRPr="005D10DD" w14:paraId="05825443" w14:textId="77777777" w:rsidTr="005D10DD">
        <w:trPr>
          <w:trHeight w:val="288"/>
        </w:trPr>
        <w:tc>
          <w:tcPr>
            <w:tcW w:w="1148" w:type="pct"/>
            <w:tcBorders>
              <w:top w:val="single" w:sz="8" w:space="0" w:color="auto"/>
              <w:left w:val="nil"/>
              <w:bottom w:val="nil"/>
              <w:right w:val="nil"/>
            </w:tcBorders>
            <w:shd w:val="clear" w:color="auto" w:fill="auto"/>
            <w:noWrap/>
            <w:vAlign w:val="center"/>
            <w:hideMark/>
          </w:tcPr>
          <w:p w14:paraId="12B70F69"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Pre-Construction</w:t>
            </w:r>
          </w:p>
        </w:tc>
        <w:tc>
          <w:tcPr>
            <w:tcW w:w="1926" w:type="pct"/>
            <w:tcBorders>
              <w:top w:val="single" w:sz="8" w:space="0" w:color="auto"/>
              <w:left w:val="nil"/>
              <w:bottom w:val="nil"/>
              <w:right w:val="nil"/>
            </w:tcBorders>
            <w:shd w:val="clear" w:color="auto" w:fill="auto"/>
            <w:noWrap/>
            <w:vAlign w:val="center"/>
            <w:hideMark/>
          </w:tcPr>
          <w:p w14:paraId="13D6DD74"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Land Acquisition</w:t>
            </w:r>
          </w:p>
        </w:tc>
        <w:tc>
          <w:tcPr>
            <w:tcW w:w="1926" w:type="pct"/>
            <w:tcBorders>
              <w:top w:val="single" w:sz="8" w:space="0" w:color="auto"/>
              <w:left w:val="nil"/>
              <w:bottom w:val="nil"/>
              <w:right w:val="nil"/>
            </w:tcBorders>
            <w:shd w:val="clear" w:color="auto" w:fill="auto"/>
            <w:noWrap/>
            <w:vAlign w:val="center"/>
            <w:hideMark/>
          </w:tcPr>
          <w:p w14:paraId="34FA685C"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Regulatory and Compliance Risk</w:t>
            </w:r>
          </w:p>
        </w:tc>
      </w:tr>
      <w:tr w:rsidR="00FC6D72" w:rsidRPr="005D10DD" w14:paraId="77F94EDB" w14:textId="77777777" w:rsidTr="005D10DD">
        <w:trPr>
          <w:trHeight w:val="288"/>
        </w:trPr>
        <w:tc>
          <w:tcPr>
            <w:tcW w:w="1148" w:type="pct"/>
            <w:tcBorders>
              <w:top w:val="nil"/>
              <w:left w:val="nil"/>
              <w:bottom w:val="nil"/>
              <w:right w:val="nil"/>
            </w:tcBorders>
            <w:shd w:val="clear" w:color="auto" w:fill="auto"/>
            <w:noWrap/>
            <w:vAlign w:val="center"/>
            <w:hideMark/>
          </w:tcPr>
          <w:p w14:paraId="73E742B6" w14:textId="77777777" w:rsidR="00FC6D72" w:rsidRPr="00CA5241" w:rsidRDefault="00FC6D72" w:rsidP="00CA5241">
            <w:pPr>
              <w:spacing w:line="240" w:lineRule="auto"/>
              <w:jc w:val="left"/>
              <w:rPr>
                <w:color w:val="000000"/>
                <w:sz w:val="18"/>
                <w:szCs w:val="18"/>
                <w:lang w:val="en-IN" w:eastAsia="en-IN"/>
              </w:rPr>
            </w:pPr>
          </w:p>
        </w:tc>
        <w:tc>
          <w:tcPr>
            <w:tcW w:w="1926" w:type="pct"/>
            <w:tcBorders>
              <w:top w:val="nil"/>
              <w:left w:val="nil"/>
              <w:bottom w:val="nil"/>
              <w:right w:val="nil"/>
            </w:tcBorders>
            <w:shd w:val="clear" w:color="auto" w:fill="auto"/>
            <w:noWrap/>
            <w:vAlign w:val="center"/>
            <w:hideMark/>
          </w:tcPr>
          <w:p w14:paraId="09F73F0D"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Unrealistic Project Schedule</w:t>
            </w:r>
          </w:p>
        </w:tc>
        <w:tc>
          <w:tcPr>
            <w:tcW w:w="1926" w:type="pct"/>
            <w:tcBorders>
              <w:top w:val="nil"/>
              <w:left w:val="nil"/>
              <w:bottom w:val="nil"/>
              <w:right w:val="nil"/>
            </w:tcBorders>
            <w:shd w:val="clear" w:color="auto" w:fill="auto"/>
            <w:noWrap/>
            <w:vAlign w:val="center"/>
            <w:hideMark/>
          </w:tcPr>
          <w:p w14:paraId="6D3A7DCF"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Land Acquisition</w:t>
            </w:r>
          </w:p>
        </w:tc>
      </w:tr>
      <w:tr w:rsidR="00FC6D72" w:rsidRPr="005D10DD" w14:paraId="251FBDBD" w14:textId="77777777" w:rsidTr="005D10DD">
        <w:trPr>
          <w:trHeight w:val="288"/>
        </w:trPr>
        <w:tc>
          <w:tcPr>
            <w:tcW w:w="1148" w:type="pct"/>
            <w:tcBorders>
              <w:top w:val="nil"/>
              <w:left w:val="nil"/>
              <w:bottom w:val="nil"/>
              <w:right w:val="nil"/>
            </w:tcBorders>
            <w:shd w:val="clear" w:color="auto" w:fill="auto"/>
            <w:noWrap/>
            <w:vAlign w:val="center"/>
            <w:hideMark/>
          </w:tcPr>
          <w:p w14:paraId="32530DB0" w14:textId="77777777" w:rsidR="00FC6D72" w:rsidRPr="00CA5241" w:rsidRDefault="00FC6D72" w:rsidP="00CA5241">
            <w:pPr>
              <w:spacing w:line="240" w:lineRule="auto"/>
              <w:jc w:val="left"/>
              <w:rPr>
                <w:color w:val="000000"/>
                <w:sz w:val="18"/>
                <w:szCs w:val="18"/>
                <w:lang w:val="en-IN" w:eastAsia="en-IN"/>
              </w:rPr>
            </w:pPr>
          </w:p>
        </w:tc>
        <w:tc>
          <w:tcPr>
            <w:tcW w:w="1926" w:type="pct"/>
            <w:tcBorders>
              <w:top w:val="nil"/>
              <w:left w:val="nil"/>
              <w:bottom w:val="nil"/>
              <w:right w:val="nil"/>
            </w:tcBorders>
            <w:shd w:val="clear" w:color="auto" w:fill="auto"/>
            <w:noWrap/>
            <w:vAlign w:val="center"/>
            <w:hideMark/>
          </w:tcPr>
          <w:p w14:paraId="3740E298"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Financial Risk</w:t>
            </w:r>
          </w:p>
        </w:tc>
        <w:tc>
          <w:tcPr>
            <w:tcW w:w="1926" w:type="pct"/>
            <w:tcBorders>
              <w:top w:val="nil"/>
              <w:left w:val="nil"/>
              <w:bottom w:val="nil"/>
              <w:right w:val="nil"/>
            </w:tcBorders>
            <w:shd w:val="clear" w:color="auto" w:fill="auto"/>
            <w:noWrap/>
            <w:vAlign w:val="center"/>
            <w:hideMark/>
          </w:tcPr>
          <w:p w14:paraId="4F41A9E6"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Improper Surveying</w:t>
            </w:r>
          </w:p>
        </w:tc>
      </w:tr>
      <w:tr w:rsidR="00FC6D72" w:rsidRPr="005D10DD" w14:paraId="324D4C51" w14:textId="77777777" w:rsidTr="005D10DD">
        <w:trPr>
          <w:trHeight w:val="288"/>
        </w:trPr>
        <w:tc>
          <w:tcPr>
            <w:tcW w:w="1148" w:type="pct"/>
            <w:tcBorders>
              <w:top w:val="nil"/>
              <w:left w:val="nil"/>
              <w:bottom w:val="nil"/>
              <w:right w:val="nil"/>
            </w:tcBorders>
            <w:shd w:val="clear" w:color="auto" w:fill="auto"/>
            <w:noWrap/>
            <w:vAlign w:val="center"/>
            <w:hideMark/>
          </w:tcPr>
          <w:p w14:paraId="4DBEC5B0" w14:textId="77777777" w:rsidR="00FC6D72" w:rsidRPr="00CA5241" w:rsidRDefault="00FC6D72" w:rsidP="00CA5241">
            <w:pPr>
              <w:spacing w:line="240" w:lineRule="auto"/>
              <w:jc w:val="left"/>
              <w:rPr>
                <w:color w:val="000000"/>
                <w:sz w:val="18"/>
                <w:szCs w:val="18"/>
                <w:lang w:val="en-IN" w:eastAsia="en-IN"/>
              </w:rPr>
            </w:pPr>
          </w:p>
        </w:tc>
        <w:tc>
          <w:tcPr>
            <w:tcW w:w="1926" w:type="pct"/>
            <w:tcBorders>
              <w:top w:val="nil"/>
              <w:left w:val="nil"/>
              <w:bottom w:val="nil"/>
              <w:right w:val="nil"/>
            </w:tcBorders>
            <w:shd w:val="clear" w:color="auto" w:fill="auto"/>
            <w:noWrap/>
            <w:vAlign w:val="center"/>
            <w:hideMark/>
          </w:tcPr>
          <w:p w14:paraId="2AB2DC76"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Regulatory and Compliance Risk</w:t>
            </w:r>
          </w:p>
        </w:tc>
        <w:tc>
          <w:tcPr>
            <w:tcW w:w="1926" w:type="pct"/>
            <w:tcBorders>
              <w:top w:val="nil"/>
              <w:left w:val="nil"/>
              <w:bottom w:val="nil"/>
              <w:right w:val="nil"/>
            </w:tcBorders>
            <w:shd w:val="clear" w:color="auto" w:fill="auto"/>
            <w:noWrap/>
            <w:vAlign w:val="center"/>
            <w:hideMark/>
          </w:tcPr>
          <w:p w14:paraId="2AC06772"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Inappropriate Tech</w:t>
            </w:r>
            <w:r w:rsidR="005D10DD" w:rsidRPr="00CA5241">
              <w:rPr>
                <w:color w:val="000000"/>
                <w:sz w:val="18"/>
                <w:szCs w:val="18"/>
                <w:lang w:val="en-IN" w:eastAsia="en-IN"/>
              </w:rPr>
              <w:t>.</w:t>
            </w:r>
            <w:r w:rsidRPr="00CA5241">
              <w:rPr>
                <w:color w:val="000000"/>
                <w:sz w:val="18"/>
                <w:szCs w:val="18"/>
                <w:lang w:val="en-IN" w:eastAsia="en-IN"/>
              </w:rPr>
              <w:t xml:space="preserve"> Adoption</w:t>
            </w:r>
          </w:p>
        </w:tc>
      </w:tr>
      <w:tr w:rsidR="00FC6D72" w:rsidRPr="005D10DD" w14:paraId="008EAA49" w14:textId="77777777" w:rsidTr="005D10DD">
        <w:trPr>
          <w:trHeight w:val="288"/>
        </w:trPr>
        <w:tc>
          <w:tcPr>
            <w:tcW w:w="1148" w:type="pct"/>
            <w:tcBorders>
              <w:top w:val="nil"/>
              <w:left w:val="nil"/>
              <w:bottom w:val="nil"/>
              <w:right w:val="nil"/>
            </w:tcBorders>
            <w:shd w:val="clear" w:color="auto" w:fill="auto"/>
            <w:noWrap/>
            <w:vAlign w:val="center"/>
            <w:hideMark/>
          </w:tcPr>
          <w:p w14:paraId="5A759957" w14:textId="77777777" w:rsidR="00FC6D72" w:rsidRPr="00CA5241" w:rsidRDefault="00FC6D72" w:rsidP="00CA5241">
            <w:pPr>
              <w:spacing w:line="240" w:lineRule="auto"/>
              <w:jc w:val="left"/>
              <w:rPr>
                <w:color w:val="000000"/>
                <w:sz w:val="18"/>
                <w:szCs w:val="18"/>
                <w:lang w:val="en-IN" w:eastAsia="en-IN"/>
              </w:rPr>
            </w:pPr>
          </w:p>
        </w:tc>
        <w:tc>
          <w:tcPr>
            <w:tcW w:w="1926" w:type="pct"/>
            <w:tcBorders>
              <w:top w:val="nil"/>
              <w:left w:val="nil"/>
              <w:bottom w:val="nil"/>
              <w:right w:val="nil"/>
            </w:tcBorders>
            <w:shd w:val="clear" w:color="auto" w:fill="auto"/>
            <w:noWrap/>
            <w:vAlign w:val="center"/>
            <w:hideMark/>
          </w:tcPr>
          <w:p w14:paraId="6C88773E" w14:textId="77777777" w:rsidR="00FC6D72" w:rsidRPr="00CA5241" w:rsidRDefault="005D10DD" w:rsidP="00CA5241">
            <w:pPr>
              <w:spacing w:line="240" w:lineRule="auto"/>
              <w:ind w:firstLine="0"/>
              <w:jc w:val="left"/>
              <w:rPr>
                <w:color w:val="000000"/>
                <w:sz w:val="18"/>
                <w:szCs w:val="18"/>
                <w:lang w:val="en-IN" w:eastAsia="en-IN"/>
              </w:rPr>
            </w:pPr>
            <w:r w:rsidRPr="00CA5241">
              <w:rPr>
                <w:color w:val="000000"/>
                <w:sz w:val="18"/>
                <w:szCs w:val="18"/>
                <w:lang w:val="en-IN" w:eastAsia="en-IN"/>
              </w:rPr>
              <w:t>H</w:t>
            </w:r>
            <w:r w:rsidR="00FC6D72" w:rsidRPr="00CA5241">
              <w:rPr>
                <w:color w:val="000000"/>
                <w:sz w:val="18"/>
                <w:szCs w:val="18"/>
                <w:lang w:val="en-IN" w:eastAsia="en-IN"/>
              </w:rPr>
              <w:t>andling of Social Issues</w:t>
            </w:r>
          </w:p>
        </w:tc>
        <w:tc>
          <w:tcPr>
            <w:tcW w:w="1926" w:type="pct"/>
            <w:tcBorders>
              <w:top w:val="nil"/>
              <w:left w:val="nil"/>
              <w:bottom w:val="nil"/>
              <w:right w:val="nil"/>
            </w:tcBorders>
            <w:shd w:val="clear" w:color="auto" w:fill="auto"/>
            <w:noWrap/>
            <w:vAlign w:val="center"/>
            <w:hideMark/>
          </w:tcPr>
          <w:p w14:paraId="4A538128"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Unrealistic Project Schedule</w:t>
            </w:r>
          </w:p>
        </w:tc>
      </w:tr>
      <w:tr w:rsidR="00FC6D72" w:rsidRPr="005D10DD" w14:paraId="6FF0A399" w14:textId="77777777" w:rsidTr="005D10DD">
        <w:trPr>
          <w:trHeight w:val="288"/>
        </w:trPr>
        <w:tc>
          <w:tcPr>
            <w:tcW w:w="1148" w:type="pct"/>
            <w:tcBorders>
              <w:top w:val="nil"/>
              <w:left w:val="nil"/>
              <w:bottom w:val="single" w:sz="4" w:space="0" w:color="auto"/>
              <w:right w:val="nil"/>
            </w:tcBorders>
            <w:shd w:val="clear" w:color="auto" w:fill="auto"/>
            <w:noWrap/>
            <w:vAlign w:val="center"/>
            <w:hideMark/>
          </w:tcPr>
          <w:p w14:paraId="7C276252" w14:textId="77777777" w:rsidR="00FC6D72" w:rsidRPr="00CA5241" w:rsidRDefault="00FC6D72" w:rsidP="00CA5241">
            <w:pPr>
              <w:spacing w:line="240" w:lineRule="auto"/>
              <w:jc w:val="left"/>
              <w:rPr>
                <w:color w:val="000000"/>
                <w:sz w:val="18"/>
                <w:szCs w:val="18"/>
                <w:lang w:val="en-IN" w:eastAsia="en-IN"/>
              </w:rPr>
            </w:pPr>
          </w:p>
        </w:tc>
        <w:tc>
          <w:tcPr>
            <w:tcW w:w="1926" w:type="pct"/>
            <w:tcBorders>
              <w:top w:val="nil"/>
              <w:left w:val="nil"/>
              <w:bottom w:val="single" w:sz="4" w:space="0" w:color="auto"/>
              <w:right w:val="nil"/>
            </w:tcBorders>
            <w:shd w:val="clear" w:color="auto" w:fill="auto"/>
            <w:noWrap/>
            <w:vAlign w:val="center"/>
            <w:hideMark/>
          </w:tcPr>
          <w:p w14:paraId="0DF3DFA6"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Inappropriate Tech</w:t>
            </w:r>
            <w:r w:rsidR="005D10DD" w:rsidRPr="00CA5241">
              <w:rPr>
                <w:color w:val="000000"/>
                <w:sz w:val="18"/>
                <w:szCs w:val="18"/>
                <w:lang w:val="en-IN" w:eastAsia="en-IN"/>
              </w:rPr>
              <w:t>.</w:t>
            </w:r>
            <w:r w:rsidRPr="00CA5241">
              <w:rPr>
                <w:color w:val="000000"/>
                <w:sz w:val="18"/>
                <w:szCs w:val="18"/>
                <w:lang w:val="en-IN" w:eastAsia="en-IN"/>
              </w:rPr>
              <w:t xml:space="preserve"> Adoption</w:t>
            </w:r>
          </w:p>
        </w:tc>
        <w:tc>
          <w:tcPr>
            <w:tcW w:w="1926" w:type="pct"/>
            <w:tcBorders>
              <w:top w:val="nil"/>
              <w:left w:val="nil"/>
              <w:bottom w:val="single" w:sz="4" w:space="0" w:color="auto"/>
              <w:right w:val="nil"/>
            </w:tcBorders>
            <w:shd w:val="clear" w:color="auto" w:fill="auto"/>
            <w:noWrap/>
            <w:vAlign w:val="center"/>
            <w:hideMark/>
          </w:tcPr>
          <w:p w14:paraId="5FD7AC0F"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Project Clearance Delays</w:t>
            </w:r>
          </w:p>
        </w:tc>
      </w:tr>
      <w:tr w:rsidR="00FC6D72" w:rsidRPr="005D10DD" w14:paraId="6E58EF6C" w14:textId="77777777" w:rsidTr="005D10DD">
        <w:trPr>
          <w:trHeight w:val="288"/>
        </w:trPr>
        <w:tc>
          <w:tcPr>
            <w:tcW w:w="1148" w:type="pct"/>
            <w:tcBorders>
              <w:top w:val="single" w:sz="4" w:space="0" w:color="auto"/>
              <w:left w:val="nil"/>
              <w:bottom w:val="nil"/>
              <w:right w:val="nil"/>
            </w:tcBorders>
            <w:shd w:val="clear" w:color="auto" w:fill="auto"/>
            <w:noWrap/>
            <w:vAlign w:val="center"/>
            <w:hideMark/>
          </w:tcPr>
          <w:p w14:paraId="7DC110DA"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Construction</w:t>
            </w:r>
          </w:p>
        </w:tc>
        <w:tc>
          <w:tcPr>
            <w:tcW w:w="1926" w:type="pct"/>
            <w:tcBorders>
              <w:top w:val="single" w:sz="4" w:space="0" w:color="auto"/>
              <w:left w:val="nil"/>
              <w:bottom w:val="nil"/>
              <w:right w:val="nil"/>
            </w:tcBorders>
            <w:shd w:val="clear" w:color="auto" w:fill="auto"/>
            <w:noWrap/>
            <w:vAlign w:val="center"/>
            <w:hideMark/>
          </w:tcPr>
          <w:p w14:paraId="72B0672A"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Operational Risk</w:t>
            </w:r>
          </w:p>
        </w:tc>
        <w:tc>
          <w:tcPr>
            <w:tcW w:w="1926" w:type="pct"/>
            <w:tcBorders>
              <w:top w:val="single" w:sz="4" w:space="0" w:color="auto"/>
              <w:left w:val="nil"/>
              <w:bottom w:val="nil"/>
              <w:right w:val="nil"/>
            </w:tcBorders>
            <w:shd w:val="clear" w:color="auto" w:fill="auto"/>
            <w:noWrap/>
            <w:vAlign w:val="center"/>
            <w:hideMark/>
          </w:tcPr>
          <w:p w14:paraId="7472ACB7"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Operational Risk</w:t>
            </w:r>
          </w:p>
        </w:tc>
      </w:tr>
      <w:tr w:rsidR="00FC6D72" w:rsidRPr="005D10DD" w14:paraId="18071FE0" w14:textId="77777777" w:rsidTr="005D10DD">
        <w:trPr>
          <w:trHeight w:val="288"/>
        </w:trPr>
        <w:tc>
          <w:tcPr>
            <w:tcW w:w="1148" w:type="pct"/>
            <w:tcBorders>
              <w:top w:val="nil"/>
              <w:left w:val="nil"/>
              <w:bottom w:val="nil"/>
              <w:right w:val="nil"/>
            </w:tcBorders>
            <w:shd w:val="clear" w:color="auto" w:fill="auto"/>
            <w:noWrap/>
            <w:vAlign w:val="center"/>
            <w:hideMark/>
          </w:tcPr>
          <w:p w14:paraId="64E607AE" w14:textId="77777777" w:rsidR="00FC6D72" w:rsidRPr="00CA5241" w:rsidRDefault="00FC6D72" w:rsidP="00CA5241">
            <w:pPr>
              <w:spacing w:line="240" w:lineRule="auto"/>
              <w:jc w:val="left"/>
              <w:rPr>
                <w:color w:val="000000"/>
                <w:sz w:val="18"/>
                <w:szCs w:val="18"/>
                <w:lang w:val="en-IN" w:eastAsia="en-IN"/>
              </w:rPr>
            </w:pPr>
          </w:p>
        </w:tc>
        <w:tc>
          <w:tcPr>
            <w:tcW w:w="1926" w:type="pct"/>
            <w:tcBorders>
              <w:top w:val="nil"/>
              <w:left w:val="nil"/>
              <w:bottom w:val="nil"/>
              <w:right w:val="nil"/>
            </w:tcBorders>
            <w:shd w:val="clear" w:color="auto" w:fill="auto"/>
            <w:noWrap/>
            <w:vAlign w:val="center"/>
            <w:hideMark/>
          </w:tcPr>
          <w:p w14:paraId="67C18B61"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Financial Risk</w:t>
            </w:r>
          </w:p>
        </w:tc>
        <w:tc>
          <w:tcPr>
            <w:tcW w:w="1926" w:type="pct"/>
            <w:tcBorders>
              <w:top w:val="nil"/>
              <w:left w:val="nil"/>
              <w:bottom w:val="nil"/>
              <w:right w:val="nil"/>
            </w:tcBorders>
            <w:shd w:val="clear" w:color="auto" w:fill="auto"/>
            <w:noWrap/>
            <w:vAlign w:val="center"/>
            <w:hideMark/>
          </w:tcPr>
          <w:p w14:paraId="070CFB08"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Supply Chain Risk</w:t>
            </w:r>
          </w:p>
        </w:tc>
      </w:tr>
      <w:tr w:rsidR="00FC6D72" w:rsidRPr="005D10DD" w14:paraId="44ECF95D" w14:textId="77777777" w:rsidTr="005D10DD">
        <w:trPr>
          <w:trHeight w:val="288"/>
        </w:trPr>
        <w:tc>
          <w:tcPr>
            <w:tcW w:w="1148" w:type="pct"/>
            <w:tcBorders>
              <w:top w:val="nil"/>
              <w:left w:val="nil"/>
              <w:bottom w:val="nil"/>
              <w:right w:val="nil"/>
            </w:tcBorders>
            <w:shd w:val="clear" w:color="auto" w:fill="auto"/>
            <w:noWrap/>
            <w:vAlign w:val="center"/>
            <w:hideMark/>
          </w:tcPr>
          <w:p w14:paraId="645E902A" w14:textId="77777777" w:rsidR="00FC6D72" w:rsidRPr="00CA5241" w:rsidRDefault="00FC6D72" w:rsidP="00CA5241">
            <w:pPr>
              <w:spacing w:line="240" w:lineRule="auto"/>
              <w:jc w:val="left"/>
              <w:rPr>
                <w:color w:val="000000"/>
                <w:sz w:val="18"/>
                <w:szCs w:val="18"/>
                <w:lang w:val="en-IN" w:eastAsia="en-IN"/>
              </w:rPr>
            </w:pPr>
          </w:p>
        </w:tc>
        <w:tc>
          <w:tcPr>
            <w:tcW w:w="1926" w:type="pct"/>
            <w:tcBorders>
              <w:top w:val="nil"/>
              <w:left w:val="nil"/>
              <w:bottom w:val="nil"/>
              <w:right w:val="nil"/>
            </w:tcBorders>
            <w:shd w:val="clear" w:color="auto" w:fill="auto"/>
            <w:noWrap/>
            <w:vAlign w:val="center"/>
            <w:hideMark/>
          </w:tcPr>
          <w:p w14:paraId="1ACD9984"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Supply Chain Risk</w:t>
            </w:r>
          </w:p>
        </w:tc>
        <w:tc>
          <w:tcPr>
            <w:tcW w:w="1926" w:type="pct"/>
            <w:tcBorders>
              <w:top w:val="nil"/>
              <w:left w:val="nil"/>
              <w:bottom w:val="nil"/>
              <w:right w:val="nil"/>
            </w:tcBorders>
            <w:shd w:val="clear" w:color="auto" w:fill="auto"/>
            <w:noWrap/>
            <w:vAlign w:val="center"/>
            <w:hideMark/>
          </w:tcPr>
          <w:p w14:paraId="5C8712E6"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Financial Risk</w:t>
            </w:r>
          </w:p>
        </w:tc>
      </w:tr>
      <w:tr w:rsidR="00FC6D72" w:rsidRPr="005D10DD" w14:paraId="246992C1" w14:textId="77777777" w:rsidTr="005D10DD">
        <w:trPr>
          <w:trHeight w:val="288"/>
        </w:trPr>
        <w:tc>
          <w:tcPr>
            <w:tcW w:w="1148" w:type="pct"/>
            <w:tcBorders>
              <w:top w:val="nil"/>
              <w:left w:val="nil"/>
              <w:bottom w:val="nil"/>
              <w:right w:val="nil"/>
            </w:tcBorders>
            <w:shd w:val="clear" w:color="auto" w:fill="auto"/>
            <w:noWrap/>
            <w:vAlign w:val="center"/>
            <w:hideMark/>
          </w:tcPr>
          <w:p w14:paraId="52274FA2" w14:textId="77777777" w:rsidR="00FC6D72" w:rsidRPr="00CA5241" w:rsidRDefault="00FC6D72" w:rsidP="00CA5241">
            <w:pPr>
              <w:spacing w:line="240" w:lineRule="auto"/>
              <w:jc w:val="left"/>
              <w:rPr>
                <w:color w:val="000000"/>
                <w:sz w:val="18"/>
                <w:szCs w:val="18"/>
                <w:lang w:val="en-IN" w:eastAsia="en-IN"/>
              </w:rPr>
            </w:pPr>
          </w:p>
        </w:tc>
        <w:tc>
          <w:tcPr>
            <w:tcW w:w="1926" w:type="pct"/>
            <w:tcBorders>
              <w:top w:val="nil"/>
              <w:left w:val="nil"/>
              <w:bottom w:val="nil"/>
              <w:right w:val="nil"/>
            </w:tcBorders>
            <w:shd w:val="clear" w:color="auto" w:fill="auto"/>
            <w:noWrap/>
            <w:vAlign w:val="center"/>
            <w:hideMark/>
          </w:tcPr>
          <w:p w14:paraId="4926D471"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Poor Coordination Risk</w:t>
            </w:r>
          </w:p>
        </w:tc>
        <w:tc>
          <w:tcPr>
            <w:tcW w:w="1926" w:type="pct"/>
            <w:tcBorders>
              <w:top w:val="nil"/>
              <w:left w:val="nil"/>
              <w:bottom w:val="nil"/>
              <w:right w:val="nil"/>
            </w:tcBorders>
            <w:shd w:val="clear" w:color="auto" w:fill="auto"/>
            <w:noWrap/>
            <w:vAlign w:val="center"/>
            <w:hideMark/>
          </w:tcPr>
          <w:p w14:paraId="71B0BDAD"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Poor Coordination Risk</w:t>
            </w:r>
          </w:p>
        </w:tc>
      </w:tr>
      <w:tr w:rsidR="00FC6D72" w:rsidRPr="005D10DD" w14:paraId="35AE61C8" w14:textId="77777777" w:rsidTr="005D10DD">
        <w:trPr>
          <w:trHeight w:val="288"/>
        </w:trPr>
        <w:tc>
          <w:tcPr>
            <w:tcW w:w="1148" w:type="pct"/>
            <w:tcBorders>
              <w:top w:val="nil"/>
              <w:left w:val="nil"/>
              <w:bottom w:val="nil"/>
              <w:right w:val="nil"/>
            </w:tcBorders>
            <w:shd w:val="clear" w:color="auto" w:fill="auto"/>
            <w:noWrap/>
            <w:vAlign w:val="center"/>
            <w:hideMark/>
          </w:tcPr>
          <w:p w14:paraId="012FC82A" w14:textId="77777777" w:rsidR="00FC6D72" w:rsidRPr="00CA5241" w:rsidRDefault="00FC6D72" w:rsidP="00CA5241">
            <w:pPr>
              <w:spacing w:line="240" w:lineRule="auto"/>
              <w:jc w:val="left"/>
              <w:rPr>
                <w:color w:val="000000"/>
                <w:sz w:val="18"/>
                <w:szCs w:val="18"/>
                <w:lang w:val="en-IN" w:eastAsia="en-IN"/>
              </w:rPr>
            </w:pPr>
          </w:p>
        </w:tc>
        <w:tc>
          <w:tcPr>
            <w:tcW w:w="1926" w:type="pct"/>
            <w:tcBorders>
              <w:top w:val="nil"/>
              <w:left w:val="nil"/>
              <w:bottom w:val="nil"/>
              <w:right w:val="nil"/>
            </w:tcBorders>
            <w:shd w:val="clear" w:color="auto" w:fill="auto"/>
            <w:noWrap/>
            <w:vAlign w:val="center"/>
            <w:hideMark/>
          </w:tcPr>
          <w:p w14:paraId="211EA2C4"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Sub Surface Issues</w:t>
            </w:r>
          </w:p>
        </w:tc>
        <w:tc>
          <w:tcPr>
            <w:tcW w:w="1926" w:type="pct"/>
            <w:tcBorders>
              <w:top w:val="nil"/>
              <w:left w:val="nil"/>
              <w:bottom w:val="nil"/>
              <w:right w:val="nil"/>
            </w:tcBorders>
            <w:shd w:val="clear" w:color="auto" w:fill="auto"/>
            <w:noWrap/>
            <w:vAlign w:val="center"/>
            <w:hideMark/>
          </w:tcPr>
          <w:p w14:paraId="2F56F2D3"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Sub Surface Issues</w:t>
            </w:r>
          </w:p>
        </w:tc>
      </w:tr>
      <w:tr w:rsidR="00FC6D72" w:rsidRPr="005D10DD" w14:paraId="743EA081" w14:textId="77777777" w:rsidTr="005D10DD">
        <w:trPr>
          <w:trHeight w:val="288"/>
        </w:trPr>
        <w:tc>
          <w:tcPr>
            <w:tcW w:w="1148" w:type="pct"/>
            <w:tcBorders>
              <w:top w:val="nil"/>
              <w:left w:val="nil"/>
              <w:bottom w:val="single" w:sz="4" w:space="0" w:color="auto"/>
              <w:right w:val="nil"/>
            </w:tcBorders>
            <w:shd w:val="clear" w:color="auto" w:fill="auto"/>
            <w:noWrap/>
            <w:vAlign w:val="center"/>
            <w:hideMark/>
          </w:tcPr>
          <w:p w14:paraId="7DE9FEAC" w14:textId="77777777" w:rsidR="00FC6D72" w:rsidRPr="00CA5241" w:rsidRDefault="00FC6D72" w:rsidP="00CA5241">
            <w:pPr>
              <w:spacing w:line="240" w:lineRule="auto"/>
              <w:jc w:val="left"/>
              <w:rPr>
                <w:color w:val="000000"/>
                <w:sz w:val="18"/>
                <w:szCs w:val="18"/>
                <w:lang w:val="en-IN" w:eastAsia="en-IN"/>
              </w:rPr>
            </w:pPr>
          </w:p>
        </w:tc>
        <w:tc>
          <w:tcPr>
            <w:tcW w:w="1926" w:type="pct"/>
            <w:tcBorders>
              <w:top w:val="nil"/>
              <w:left w:val="nil"/>
              <w:bottom w:val="single" w:sz="4" w:space="0" w:color="auto"/>
              <w:right w:val="nil"/>
            </w:tcBorders>
            <w:shd w:val="clear" w:color="auto" w:fill="auto"/>
            <w:noWrap/>
            <w:vAlign w:val="center"/>
            <w:hideMark/>
          </w:tcPr>
          <w:p w14:paraId="14DBF9E2"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Traffic Control Issues</w:t>
            </w:r>
          </w:p>
        </w:tc>
        <w:tc>
          <w:tcPr>
            <w:tcW w:w="1926" w:type="pct"/>
            <w:tcBorders>
              <w:top w:val="nil"/>
              <w:left w:val="nil"/>
              <w:bottom w:val="single" w:sz="4" w:space="0" w:color="auto"/>
              <w:right w:val="nil"/>
            </w:tcBorders>
            <w:shd w:val="clear" w:color="auto" w:fill="auto"/>
            <w:noWrap/>
            <w:vAlign w:val="center"/>
            <w:hideMark/>
          </w:tcPr>
          <w:p w14:paraId="560E0E12"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Traffic Control Issues</w:t>
            </w:r>
          </w:p>
        </w:tc>
      </w:tr>
      <w:tr w:rsidR="00FC6D72" w:rsidRPr="005D10DD" w14:paraId="17FD488F" w14:textId="77777777" w:rsidTr="005D10DD">
        <w:trPr>
          <w:trHeight w:val="288"/>
        </w:trPr>
        <w:tc>
          <w:tcPr>
            <w:tcW w:w="1148" w:type="pct"/>
            <w:tcBorders>
              <w:top w:val="single" w:sz="4" w:space="0" w:color="auto"/>
              <w:left w:val="nil"/>
              <w:bottom w:val="nil"/>
              <w:right w:val="nil"/>
            </w:tcBorders>
            <w:shd w:val="clear" w:color="auto" w:fill="auto"/>
            <w:noWrap/>
            <w:vAlign w:val="center"/>
            <w:hideMark/>
          </w:tcPr>
          <w:p w14:paraId="21A05825"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Post Construction</w:t>
            </w:r>
          </w:p>
        </w:tc>
        <w:tc>
          <w:tcPr>
            <w:tcW w:w="1926" w:type="pct"/>
            <w:tcBorders>
              <w:top w:val="single" w:sz="4" w:space="0" w:color="auto"/>
              <w:left w:val="nil"/>
              <w:bottom w:val="nil"/>
              <w:right w:val="nil"/>
            </w:tcBorders>
            <w:shd w:val="clear" w:color="auto" w:fill="auto"/>
            <w:noWrap/>
            <w:vAlign w:val="center"/>
            <w:hideMark/>
          </w:tcPr>
          <w:p w14:paraId="1F6250D8"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Inaccurate Data</w:t>
            </w:r>
          </w:p>
        </w:tc>
        <w:tc>
          <w:tcPr>
            <w:tcW w:w="1926" w:type="pct"/>
            <w:tcBorders>
              <w:top w:val="single" w:sz="4" w:space="0" w:color="auto"/>
              <w:left w:val="nil"/>
              <w:bottom w:val="nil"/>
              <w:right w:val="nil"/>
            </w:tcBorders>
            <w:shd w:val="clear" w:color="auto" w:fill="auto"/>
            <w:noWrap/>
            <w:vAlign w:val="center"/>
            <w:hideMark/>
          </w:tcPr>
          <w:p w14:paraId="19C43A4D"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Accessibility Limitations</w:t>
            </w:r>
          </w:p>
        </w:tc>
      </w:tr>
      <w:tr w:rsidR="00FC6D72" w:rsidRPr="005D10DD" w14:paraId="2F2EEA82" w14:textId="77777777" w:rsidTr="005D10DD">
        <w:trPr>
          <w:trHeight w:val="288"/>
        </w:trPr>
        <w:tc>
          <w:tcPr>
            <w:tcW w:w="1148" w:type="pct"/>
            <w:tcBorders>
              <w:top w:val="nil"/>
              <w:left w:val="nil"/>
              <w:bottom w:val="nil"/>
              <w:right w:val="nil"/>
            </w:tcBorders>
            <w:shd w:val="clear" w:color="auto" w:fill="auto"/>
            <w:noWrap/>
            <w:vAlign w:val="center"/>
            <w:hideMark/>
          </w:tcPr>
          <w:p w14:paraId="6AD54C58" w14:textId="77777777" w:rsidR="00FC6D72" w:rsidRPr="00CA5241" w:rsidRDefault="00FC6D72" w:rsidP="00CA5241">
            <w:pPr>
              <w:spacing w:line="240" w:lineRule="auto"/>
              <w:jc w:val="left"/>
              <w:rPr>
                <w:color w:val="000000"/>
                <w:sz w:val="18"/>
                <w:szCs w:val="18"/>
                <w:lang w:val="en-IN" w:eastAsia="en-IN"/>
              </w:rPr>
            </w:pPr>
          </w:p>
        </w:tc>
        <w:tc>
          <w:tcPr>
            <w:tcW w:w="1926" w:type="pct"/>
            <w:tcBorders>
              <w:top w:val="nil"/>
              <w:left w:val="nil"/>
              <w:bottom w:val="nil"/>
              <w:right w:val="nil"/>
            </w:tcBorders>
            <w:shd w:val="clear" w:color="auto" w:fill="auto"/>
            <w:noWrap/>
            <w:vAlign w:val="center"/>
            <w:hideMark/>
          </w:tcPr>
          <w:p w14:paraId="13DEC73B"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Accessibility Limitations</w:t>
            </w:r>
          </w:p>
        </w:tc>
        <w:tc>
          <w:tcPr>
            <w:tcW w:w="1926" w:type="pct"/>
            <w:tcBorders>
              <w:top w:val="nil"/>
              <w:left w:val="nil"/>
              <w:bottom w:val="nil"/>
              <w:right w:val="nil"/>
            </w:tcBorders>
            <w:shd w:val="clear" w:color="auto" w:fill="auto"/>
            <w:noWrap/>
            <w:vAlign w:val="center"/>
            <w:hideMark/>
          </w:tcPr>
          <w:p w14:paraId="648DCE44"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 xml:space="preserve">Inaccurate </w:t>
            </w:r>
            <w:r w:rsidR="005D10DD" w:rsidRPr="00CA5241">
              <w:rPr>
                <w:color w:val="000000"/>
                <w:sz w:val="18"/>
                <w:szCs w:val="18"/>
                <w:lang w:val="en-IN" w:eastAsia="en-IN"/>
              </w:rPr>
              <w:t>M</w:t>
            </w:r>
            <w:r w:rsidRPr="00CA5241">
              <w:rPr>
                <w:color w:val="000000"/>
                <w:sz w:val="18"/>
                <w:szCs w:val="18"/>
                <w:lang w:val="en-IN" w:eastAsia="en-IN"/>
              </w:rPr>
              <w:t>aterial</w:t>
            </w:r>
            <w:r w:rsidR="005D10DD" w:rsidRPr="00CA5241">
              <w:rPr>
                <w:color w:val="000000"/>
                <w:sz w:val="18"/>
                <w:szCs w:val="18"/>
                <w:lang w:val="en-IN" w:eastAsia="en-IN"/>
              </w:rPr>
              <w:t xml:space="preserve"> Properties</w:t>
            </w:r>
          </w:p>
        </w:tc>
      </w:tr>
      <w:tr w:rsidR="00FC6D72" w:rsidRPr="005D10DD" w14:paraId="52617141" w14:textId="77777777" w:rsidTr="005D10DD">
        <w:trPr>
          <w:trHeight w:val="288"/>
        </w:trPr>
        <w:tc>
          <w:tcPr>
            <w:tcW w:w="1148" w:type="pct"/>
            <w:tcBorders>
              <w:top w:val="nil"/>
              <w:left w:val="nil"/>
              <w:bottom w:val="nil"/>
              <w:right w:val="nil"/>
            </w:tcBorders>
            <w:shd w:val="clear" w:color="auto" w:fill="auto"/>
            <w:noWrap/>
            <w:vAlign w:val="center"/>
            <w:hideMark/>
          </w:tcPr>
          <w:p w14:paraId="35E754F8" w14:textId="77777777" w:rsidR="00FC6D72" w:rsidRPr="00CA5241" w:rsidRDefault="00FC6D72" w:rsidP="00CA5241">
            <w:pPr>
              <w:spacing w:line="240" w:lineRule="auto"/>
              <w:jc w:val="left"/>
              <w:rPr>
                <w:color w:val="000000"/>
                <w:sz w:val="18"/>
                <w:szCs w:val="18"/>
                <w:lang w:val="en-IN" w:eastAsia="en-IN"/>
              </w:rPr>
            </w:pPr>
          </w:p>
        </w:tc>
        <w:tc>
          <w:tcPr>
            <w:tcW w:w="1926" w:type="pct"/>
            <w:tcBorders>
              <w:top w:val="nil"/>
              <w:left w:val="nil"/>
              <w:bottom w:val="nil"/>
              <w:right w:val="nil"/>
            </w:tcBorders>
            <w:shd w:val="clear" w:color="auto" w:fill="auto"/>
            <w:noWrap/>
            <w:vAlign w:val="center"/>
            <w:hideMark/>
          </w:tcPr>
          <w:p w14:paraId="06B37C79"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Financial Risk</w:t>
            </w:r>
          </w:p>
        </w:tc>
        <w:tc>
          <w:tcPr>
            <w:tcW w:w="1926" w:type="pct"/>
            <w:tcBorders>
              <w:top w:val="nil"/>
              <w:left w:val="nil"/>
              <w:bottom w:val="nil"/>
              <w:right w:val="nil"/>
            </w:tcBorders>
            <w:shd w:val="clear" w:color="auto" w:fill="auto"/>
            <w:noWrap/>
            <w:vAlign w:val="center"/>
            <w:hideMark/>
          </w:tcPr>
          <w:p w14:paraId="2EBAE149"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Subjective Interpretation</w:t>
            </w:r>
          </w:p>
        </w:tc>
      </w:tr>
      <w:tr w:rsidR="00FC6D72" w:rsidRPr="005D10DD" w14:paraId="359766B2" w14:textId="77777777" w:rsidTr="005D10DD">
        <w:trPr>
          <w:trHeight w:val="288"/>
        </w:trPr>
        <w:tc>
          <w:tcPr>
            <w:tcW w:w="1148" w:type="pct"/>
            <w:tcBorders>
              <w:top w:val="nil"/>
              <w:left w:val="nil"/>
              <w:bottom w:val="nil"/>
              <w:right w:val="nil"/>
            </w:tcBorders>
            <w:shd w:val="clear" w:color="auto" w:fill="auto"/>
            <w:noWrap/>
            <w:vAlign w:val="center"/>
            <w:hideMark/>
          </w:tcPr>
          <w:p w14:paraId="7F42AC3E" w14:textId="77777777" w:rsidR="00FC6D72" w:rsidRPr="00CA5241" w:rsidRDefault="00FC6D72" w:rsidP="00CA5241">
            <w:pPr>
              <w:spacing w:line="240" w:lineRule="auto"/>
              <w:jc w:val="left"/>
              <w:rPr>
                <w:color w:val="000000"/>
                <w:sz w:val="18"/>
                <w:szCs w:val="18"/>
                <w:lang w:val="en-IN" w:eastAsia="en-IN"/>
              </w:rPr>
            </w:pPr>
          </w:p>
        </w:tc>
        <w:tc>
          <w:tcPr>
            <w:tcW w:w="1926" w:type="pct"/>
            <w:tcBorders>
              <w:top w:val="nil"/>
              <w:left w:val="nil"/>
              <w:bottom w:val="nil"/>
              <w:right w:val="nil"/>
            </w:tcBorders>
            <w:shd w:val="clear" w:color="auto" w:fill="auto"/>
            <w:noWrap/>
            <w:vAlign w:val="center"/>
            <w:hideMark/>
          </w:tcPr>
          <w:p w14:paraId="3BD6BA5D"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Overlooking Alternatives</w:t>
            </w:r>
          </w:p>
        </w:tc>
        <w:tc>
          <w:tcPr>
            <w:tcW w:w="1926" w:type="pct"/>
            <w:tcBorders>
              <w:top w:val="nil"/>
              <w:left w:val="nil"/>
              <w:bottom w:val="nil"/>
              <w:right w:val="nil"/>
            </w:tcBorders>
            <w:shd w:val="clear" w:color="auto" w:fill="auto"/>
            <w:noWrap/>
            <w:vAlign w:val="center"/>
            <w:hideMark/>
          </w:tcPr>
          <w:p w14:paraId="37B854BB"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Operational Risk</w:t>
            </w:r>
          </w:p>
        </w:tc>
      </w:tr>
      <w:tr w:rsidR="00FC6D72" w:rsidRPr="005D10DD" w14:paraId="38523CBD" w14:textId="77777777" w:rsidTr="005D10DD">
        <w:trPr>
          <w:trHeight w:val="288"/>
        </w:trPr>
        <w:tc>
          <w:tcPr>
            <w:tcW w:w="1148" w:type="pct"/>
            <w:tcBorders>
              <w:top w:val="nil"/>
              <w:left w:val="nil"/>
              <w:bottom w:val="nil"/>
              <w:right w:val="nil"/>
            </w:tcBorders>
            <w:shd w:val="clear" w:color="auto" w:fill="auto"/>
            <w:noWrap/>
            <w:vAlign w:val="center"/>
            <w:hideMark/>
          </w:tcPr>
          <w:p w14:paraId="0C4B8F90" w14:textId="77777777" w:rsidR="00FC6D72" w:rsidRPr="00CA5241" w:rsidRDefault="00FC6D72" w:rsidP="00CA5241">
            <w:pPr>
              <w:spacing w:line="240" w:lineRule="auto"/>
              <w:jc w:val="left"/>
              <w:rPr>
                <w:color w:val="000000"/>
                <w:sz w:val="18"/>
                <w:szCs w:val="18"/>
                <w:lang w:val="en-IN" w:eastAsia="en-IN"/>
              </w:rPr>
            </w:pPr>
          </w:p>
        </w:tc>
        <w:tc>
          <w:tcPr>
            <w:tcW w:w="1926" w:type="pct"/>
            <w:tcBorders>
              <w:top w:val="nil"/>
              <w:left w:val="nil"/>
              <w:bottom w:val="nil"/>
              <w:right w:val="nil"/>
            </w:tcBorders>
            <w:shd w:val="clear" w:color="auto" w:fill="auto"/>
            <w:noWrap/>
            <w:vAlign w:val="center"/>
            <w:hideMark/>
          </w:tcPr>
          <w:p w14:paraId="49CF3312"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Operational Risk</w:t>
            </w:r>
          </w:p>
        </w:tc>
        <w:tc>
          <w:tcPr>
            <w:tcW w:w="1926" w:type="pct"/>
            <w:tcBorders>
              <w:top w:val="nil"/>
              <w:left w:val="nil"/>
              <w:bottom w:val="nil"/>
              <w:right w:val="nil"/>
            </w:tcBorders>
            <w:shd w:val="clear" w:color="auto" w:fill="auto"/>
            <w:noWrap/>
            <w:vAlign w:val="center"/>
            <w:hideMark/>
          </w:tcPr>
          <w:p w14:paraId="2CE71660"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Financial Risk</w:t>
            </w:r>
          </w:p>
        </w:tc>
      </w:tr>
      <w:tr w:rsidR="00FC6D72" w:rsidRPr="005D10DD" w14:paraId="3E6C9610" w14:textId="77777777" w:rsidTr="005D10DD">
        <w:trPr>
          <w:trHeight w:val="288"/>
        </w:trPr>
        <w:tc>
          <w:tcPr>
            <w:tcW w:w="1148" w:type="pct"/>
            <w:tcBorders>
              <w:top w:val="nil"/>
              <w:left w:val="nil"/>
              <w:bottom w:val="single" w:sz="8" w:space="0" w:color="auto"/>
              <w:right w:val="nil"/>
            </w:tcBorders>
            <w:shd w:val="clear" w:color="auto" w:fill="auto"/>
            <w:noWrap/>
            <w:vAlign w:val="center"/>
            <w:hideMark/>
          </w:tcPr>
          <w:p w14:paraId="45F0ECA9" w14:textId="77777777" w:rsidR="00FC6D72" w:rsidRPr="00CA5241" w:rsidRDefault="00FC6D72" w:rsidP="00CA5241">
            <w:pPr>
              <w:spacing w:line="240" w:lineRule="auto"/>
              <w:jc w:val="left"/>
              <w:rPr>
                <w:color w:val="000000"/>
                <w:sz w:val="18"/>
                <w:szCs w:val="18"/>
                <w:lang w:val="en-IN" w:eastAsia="en-IN"/>
              </w:rPr>
            </w:pPr>
          </w:p>
        </w:tc>
        <w:tc>
          <w:tcPr>
            <w:tcW w:w="1926" w:type="pct"/>
            <w:tcBorders>
              <w:top w:val="nil"/>
              <w:left w:val="nil"/>
              <w:bottom w:val="single" w:sz="8" w:space="0" w:color="auto"/>
              <w:right w:val="nil"/>
            </w:tcBorders>
            <w:shd w:val="clear" w:color="auto" w:fill="auto"/>
            <w:noWrap/>
            <w:vAlign w:val="center"/>
            <w:hideMark/>
          </w:tcPr>
          <w:p w14:paraId="46B3EC9B"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Interruption of Traffic flow</w:t>
            </w:r>
          </w:p>
        </w:tc>
        <w:tc>
          <w:tcPr>
            <w:tcW w:w="1926" w:type="pct"/>
            <w:tcBorders>
              <w:top w:val="nil"/>
              <w:left w:val="nil"/>
              <w:bottom w:val="single" w:sz="8" w:space="0" w:color="auto"/>
              <w:right w:val="nil"/>
            </w:tcBorders>
            <w:shd w:val="clear" w:color="auto" w:fill="auto"/>
            <w:noWrap/>
            <w:vAlign w:val="center"/>
            <w:hideMark/>
          </w:tcPr>
          <w:p w14:paraId="7F88CEA5" w14:textId="77777777" w:rsidR="00FC6D72" w:rsidRPr="00CA5241" w:rsidRDefault="00FC6D72" w:rsidP="00CA5241">
            <w:pPr>
              <w:spacing w:line="240" w:lineRule="auto"/>
              <w:ind w:firstLine="0"/>
              <w:jc w:val="left"/>
              <w:rPr>
                <w:color w:val="000000"/>
                <w:sz w:val="18"/>
                <w:szCs w:val="18"/>
                <w:lang w:val="en-IN" w:eastAsia="en-IN"/>
              </w:rPr>
            </w:pPr>
            <w:r w:rsidRPr="00CA5241">
              <w:rPr>
                <w:color w:val="000000"/>
                <w:sz w:val="18"/>
                <w:szCs w:val="18"/>
                <w:lang w:val="en-IN" w:eastAsia="en-IN"/>
              </w:rPr>
              <w:t>Human Error</w:t>
            </w:r>
          </w:p>
        </w:tc>
      </w:tr>
    </w:tbl>
    <w:p w14:paraId="66C5C30B" w14:textId="77777777" w:rsidR="00FC6D72" w:rsidRDefault="00FC6D72" w:rsidP="00FC6D72"/>
    <w:p w14:paraId="4BD87807" w14:textId="3D9D849A" w:rsidR="009679C0" w:rsidRPr="00453E1E" w:rsidRDefault="00FC6D72" w:rsidP="009679C0">
      <w:r w:rsidRPr="00D70AF2">
        <w:t xml:space="preserve">The comparative analysis demonstrates that </w:t>
      </w:r>
      <w:r>
        <w:t>a r</w:t>
      </w:r>
      <w:r w:rsidRPr="00D70AF2">
        <w:t xml:space="preserve">isk </w:t>
      </w:r>
      <w:r>
        <w:t>m</w:t>
      </w:r>
      <w:r w:rsidRPr="00D70AF2">
        <w:t xml:space="preserve">atrix provides </w:t>
      </w:r>
      <w:r w:rsidR="007D523A">
        <w:t xml:space="preserve">a </w:t>
      </w:r>
      <w:r w:rsidRPr="00D70AF2">
        <w:t xml:space="preserve">quick assessment and initial information on risks </w:t>
      </w:r>
      <w:r>
        <w:t>from</w:t>
      </w:r>
      <w:r w:rsidRPr="00D70AF2">
        <w:t xml:space="preserve"> a broad perspective but can be slightly biased. </w:t>
      </w:r>
      <w:r>
        <w:t>Whereas</w:t>
      </w:r>
      <w:r w:rsidRPr="00D70AF2">
        <w:t xml:space="preserve">, </w:t>
      </w:r>
      <w:r>
        <w:t xml:space="preserve">the </w:t>
      </w:r>
      <w:r w:rsidRPr="00D70AF2">
        <w:t xml:space="preserve">AHP performs risk assessment through pairwise comparison, </w:t>
      </w:r>
      <w:r w:rsidRPr="00D70AF2">
        <w:lastRenderedPageBreak/>
        <w:t xml:space="preserve">offering detailed risk prioritization in a more systematic </w:t>
      </w:r>
      <w:r>
        <w:t>manner</w:t>
      </w:r>
      <w:r w:rsidRPr="00D70AF2">
        <w:t>. Thus, this study highlights the gross perspective of the Risk Matrix approach and the effective perspective of the AHP, recommending an integrated approach for optimal risk assessment.</w:t>
      </w:r>
    </w:p>
    <w:p w14:paraId="4A81881F" w14:textId="77777777" w:rsidR="00FC6D72" w:rsidRDefault="00FC6D72" w:rsidP="00FC6D72">
      <w:pPr>
        <w:pStyle w:val="heading2"/>
      </w:pPr>
      <w:r>
        <w:t xml:space="preserve"> Control Measures</w:t>
      </w:r>
    </w:p>
    <w:p w14:paraId="664FF676" w14:textId="30732279" w:rsidR="00FC6D72" w:rsidRPr="00FC6D72" w:rsidRDefault="00FC6D72" w:rsidP="00FC6D72">
      <w:pPr>
        <w:pStyle w:val="p1a"/>
      </w:pPr>
      <w:r w:rsidRPr="00FC6D72">
        <w:t xml:space="preserve">Due to the inconsistencies observed through the AHP in the post-construction phase, control measures in terms of preventive and responsive actions are recommended in </w:t>
      </w:r>
      <w:r w:rsidR="00B15D99">
        <w:fldChar w:fldCharType="begin"/>
      </w:r>
      <w:r w:rsidR="00B15D99">
        <w:instrText xml:space="preserve"> REF _Ref174486904 \h </w:instrText>
      </w:r>
      <w:r w:rsidR="00B15D99">
        <w:fldChar w:fldCharType="separate"/>
      </w:r>
      <w:r w:rsidR="00B15D99">
        <w:rPr>
          <w:b/>
        </w:rPr>
        <w:t xml:space="preserve">Table </w:t>
      </w:r>
      <w:r w:rsidR="00B15D99">
        <w:rPr>
          <w:b/>
          <w:noProof/>
        </w:rPr>
        <w:t>5</w:t>
      </w:r>
      <w:r w:rsidR="00B15D99">
        <w:fldChar w:fldCharType="end"/>
      </w:r>
      <w:r w:rsidRPr="00FC6D72">
        <w:t xml:space="preserve">. </w:t>
      </w:r>
    </w:p>
    <w:p w14:paraId="24AEE79B" w14:textId="77777777" w:rsidR="00FC6D72" w:rsidRDefault="00FC6D72" w:rsidP="00FC6D72">
      <w:r w:rsidRPr="00715E67">
        <w:t xml:space="preserve">These measures can be implemented during repair and retrofitting processes to mitigate risks that have already occurred and affected the structure’s functionality, as well as risks anticipated </w:t>
      </w:r>
      <w:r>
        <w:t>during</w:t>
      </w:r>
      <w:r w:rsidRPr="00715E67">
        <w:t xml:space="preserve"> retrofitting processes </w:t>
      </w:r>
      <w:r>
        <w:t xml:space="preserve">and during </w:t>
      </w:r>
      <w:r w:rsidRPr="00715E67">
        <w:t>future maintenance and monitoring phases post-retrofitting.</w:t>
      </w:r>
    </w:p>
    <w:p w14:paraId="7C97E791" w14:textId="306DDCCF" w:rsidR="00FC6D72" w:rsidRDefault="00B15D99" w:rsidP="00B15D99">
      <w:pPr>
        <w:pStyle w:val="tablecaption"/>
      </w:pPr>
      <w:bookmarkStart w:id="9" w:name="_Ref174486904"/>
      <w:r>
        <w:rPr>
          <w:b/>
        </w:rPr>
        <w:t xml:space="preserve">Table </w:t>
      </w:r>
      <w:r>
        <w:rPr>
          <w:b/>
        </w:rPr>
        <w:fldChar w:fldCharType="begin"/>
      </w:r>
      <w:r>
        <w:rPr>
          <w:b/>
        </w:rPr>
        <w:instrText xml:space="preserve"> SEQ "Table" \* MERGEFORMAT </w:instrText>
      </w:r>
      <w:r>
        <w:rPr>
          <w:b/>
        </w:rPr>
        <w:fldChar w:fldCharType="separate"/>
      </w:r>
      <w:r w:rsidR="007D523A">
        <w:rPr>
          <w:b/>
          <w:noProof/>
        </w:rPr>
        <w:t>5</w:t>
      </w:r>
      <w:r>
        <w:rPr>
          <w:b/>
        </w:rPr>
        <w:fldChar w:fldCharType="end"/>
      </w:r>
      <w:bookmarkEnd w:id="9"/>
      <w:r>
        <w:rPr>
          <w:b/>
        </w:rPr>
        <w:t>.</w:t>
      </w:r>
      <w:r>
        <w:t xml:space="preserve"> </w:t>
      </w:r>
      <w:r w:rsidR="00FC6D72" w:rsidRPr="00B15D99">
        <w:t>The</w:t>
      </w:r>
      <w:r w:rsidR="00FC6D72">
        <w:t xml:space="preserve"> recommended control measures for </w:t>
      </w:r>
      <w:r w:rsidR="00424BE7">
        <w:t xml:space="preserve">the </w:t>
      </w:r>
      <w:r w:rsidR="00FC6D72">
        <w:t>repair and retrofitting sector.</w:t>
      </w:r>
    </w:p>
    <w:tbl>
      <w:tblPr>
        <w:tblW w:w="5000" w:type="pct"/>
        <w:tblBorders>
          <w:top w:val="single" w:sz="8" w:space="0" w:color="auto"/>
          <w:bottom w:val="single" w:sz="8" w:space="0" w:color="auto"/>
        </w:tblBorders>
        <w:tblLayout w:type="fixed"/>
        <w:tblLook w:val="04A0" w:firstRow="1" w:lastRow="0" w:firstColumn="1" w:lastColumn="0" w:noHBand="0" w:noVBand="1"/>
      </w:tblPr>
      <w:tblGrid>
        <w:gridCol w:w="1260"/>
        <w:gridCol w:w="2744"/>
        <w:gridCol w:w="227"/>
        <w:gridCol w:w="2687"/>
      </w:tblGrid>
      <w:tr w:rsidR="00AE3F19" w:rsidRPr="00AE3F19" w14:paraId="0FCA3788" w14:textId="77777777" w:rsidTr="00AE3F19">
        <w:trPr>
          <w:trHeight w:val="288"/>
        </w:trPr>
        <w:tc>
          <w:tcPr>
            <w:tcW w:w="911" w:type="pct"/>
            <w:tcBorders>
              <w:top w:val="single" w:sz="8" w:space="0" w:color="auto"/>
              <w:bottom w:val="single" w:sz="8" w:space="0" w:color="auto"/>
            </w:tcBorders>
            <w:shd w:val="clear" w:color="auto" w:fill="auto"/>
            <w:noWrap/>
            <w:vAlign w:val="center"/>
            <w:hideMark/>
          </w:tcPr>
          <w:p w14:paraId="1DC3B6D1"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Risk</w:t>
            </w:r>
          </w:p>
        </w:tc>
        <w:tc>
          <w:tcPr>
            <w:tcW w:w="1983" w:type="pct"/>
            <w:tcBorders>
              <w:top w:val="single" w:sz="8" w:space="0" w:color="auto"/>
              <w:bottom w:val="single" w:sz="8" w:space="0" w:color="auto"/>
            </w:tcBorders>
            <w:shd w:val="clear" w:color="auto" w:fill="auto"/>
            <w:noWrap/>
            <w:vAlign w:val="center"/>
            <w:hideMark/>
          </w:tcPr>
          <w:p w14:paraId="7849238C" w14:textId="77777777" w:rsidR="00AE3F19" w:rsidRPr="00AE3F19" w:rsidRDefault="00AE3F19" w:rsidP="00AE3F19">
            <w:pPr>
              <w:overflowPunct/>
              <w:autoSpaceDE/>
              <w:autoSpaceDN/>
              <w:adjustRightInd/>
              <w:spacing w:line="240" w:lineRule="auto"/>
              <w:ind w:firstLine="0"/>
              <w:jc w:val="center"/>
              <w:textAlignment w:val="auto"/>
              <w:rPr>
                <w:color w:val="000000"/>
                <w:sz w:val="18"/>
                <w:szCs w:val="18"/>
                <w:lang w:val="en-IN" w:eastAsia="en-IN"/>
              </w:rPr>
            </w:pPr>
            <w:r w:rsidRPr="00AE3F19">
              <w:rPr>
                <w:color w:val="000000"/>
                <w:sz w:val="18"/>
                <w:szCs w:val="18"/>
                <w:lang w:val="en-IN" w:eastAsia="en-IN"/>
              </w:rPr>
              <w:t>Preventive Measures</w:t>
            </w:r>
          </w:p>
        </w:tc>
        <w:tc>
          <w:tcPr>
            <w:tcW w:w="2106" w:type="pct"/>
            <w:gridSpan w:val="2"/>
            <w:tcBorders>
              <w:top w:val="single" w:sz="8" w:space="0" w:color="auto"/>
              <w:bottom w:val="single" w:sz="8" w:space="0" w:color="auto"/>
            </w:tcBorders>
            <w:shd w:val="clear" w:color="auto" w:fill="auto"/>
            <w:noWrap/>
            <w:vAlign w:val="center"/>
            <w:hideMark/>
          </w:tcPr>
          <w:p w14:paraId="28E5B7D5" w14:textId="77777777" w:rsidR="00AE3F19" w:rsidRPr="00AE3F19" w:rsidRDefault="00AE3F19" w:rsidP="00AE3F19">
            <w:pPr>
              <w:overflowPunct/>
              <w:autoSpaceDE/>
              <w:autoSpaceDN/>
              <w:adjustRightInd/>
              <w:spacing w:line="240" w:lineRule="auto"/>
              <w:ind w:firstLine="0"/>
              <w:jc w:val="center"/>
              <w:textAlignment w:val="auto"/>
              <w:rPr>
                <w:color w:val="000000"/>
                <w:sz w:val="18"/>
                <w:szCs w:val="18"/>
                <w:lang w:val="en-IN" w:eastAsia="en-IN"/>
              </w:rPr>
            </w:pPr>
            <w:r w:rsidRPr="00AE3F19">
              <w:rPr>
                <w:color w:val="000000"/>
                <w:sz w:val="18"/>
                <w:szCs w:val="18"/>
                <w:lang w:val="en-IN" w:eastAsia="en-IN"/>
              </w:rPr>
              <w:t>Responsive Measures</w:t>
            </w:r>
          </w:p>
        </w:tc>
      </w:tr>
      <w:tr w:rsidR="00AE3F19" w:rsidRPr="00AE3F19" w14:paraId="4667AD9D" w14:textId="77777777" w:rsidTr="007D523A">
        <w:trPr>
          <w:trHeight w:val="240"/>
        </w:trPr>
        <w:tc>
          <w:tcPr>
            <w:tcW w:w="911" w:type="pct"/>
            <w:vMerge w:val="restart"/>
            <w:tcBorders>
              <w:top w:val="single" w:sz="8" w:space="0" w:color="auto"/>
            </w:tcBorders>
            <w:shd w:val="clear" w:color="auto" w:fill="auto"/>
            <w:noWrap/>
            <w:vAlign w:val="center"/>
            <w:hideMark/>
          </w:tcPr>
          <w:p w14:paraId="5BC10504"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Inaccurate Data</w:t>
            </w:r>
          </w:p>
        </w:tc>
        <w:tc>
          <w:tcPr>
            <w:tcW w:w="2147" w:type="pct"/>
            <w:gridSpan w:val="2"/>
            <w:tcBorders>
              <w:top w:val="single" w:sz="8" w:space="0" w:color="auto"/>
              <w:bottom w:val="nil"/>
            </w:tcBorders>
            <w:shd w:val="clear" w:color="auto" w:fill="auto"/>
            <w:noWrap/>
            <w:vAlign w:val="center"/>
            <w:hideMark/>
          </w:tcPr>
          <w:p w14:paraId="16EA5587" w14:textId="1DDE7339" w:rsidR="00AE3F19" w:rsidRPr="00AE3F19" w:rsidRDefault="00424BE7" w:rsidP="00AE3F19">
            <w:pPr>
              <w:overflowPunct/>
              <w:autoSpaceDE/>
              <w:autoSpaceDN/>
              <w:adjustRightInd/>
              <w:spacing w:line="240" w:lineRule="auto"/>
              <w:ind w:firstLine="0"/>
              <w:jc w:val="left"/>
              <w:textAlignment w:val="auto"/>
              <w:rPr>
                <w:color w:val="000000"/>
                <w:sz w:val="18"/>
                <w:szCs w:val="18"/>
                <w:lang w:val="en-IN" w:eastAsia="en-IN"/>
              </w:rPr>
            </w:pPr>
            <w:r>
              <w:rPr>
                <w:color w:val="000000"/>
                <w:sz w:val="18"/>
                <w:szCs w:val="18"/>
                <w:lang w:val="en-IN" w:eastAsia="en-IN"/>
              </w:rPr>
              <w:t>Technical training for auditing team</w:t>
            </w:r>
          </w:p>
        </w:tc>
        <w:tc>
          <w:tcPr>
            <w:tcW w:w="1942" w:type="pct"/>
            <w:tcBorders>
              <w:top w:val="single" w:sz="8" w:space="0" w:color="auto"/>
              <w:bottom w:val="nil"/>
            </w:tcBorders>
            <w:shd w:val="clear" w:color="auto" w:fill="auto"/>
            <w:noWrap/>
            <w:vAlign w:val="center"/>
            <w:hideMark/>
          </w:tcPr>
          <w:p w14:paraId="36DFE52D" w14:textId="11C4CB5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Schedule additional monthly data reviews</w:t>
            </w:r>
          </w:p>
        </w:tc>
      </w:tr>
      <w:tr w:rsidR="00AE3F19" w:rsidRPr="00AE3F19" w14:paraId="13CC4719" w14:textId="77777777" w:rsidTr="007D523A">
        <w:trPr>
          <w:trHeight w:val="240"/>
        </w:trPr>
        <w:tc>
          <w:tcPr>
            <w:tcW w:w="911" w:type="pct"/>
            <w:vMerge/>
            <w:tcBorders>
              <w:bottom w:val="single" w:sz="4" w:space="0" w:color="auto"/>
            </w:tcBorders>
            <w:shd w:val="clear" w:color="auto" w:fill="auto"/>
            <w:noWrap/>
            <w:vAlign w:val="center"/>
            <w:hideMark/>
          </w:tcPr>
          <w:p w14:paraId="127C37B4"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p>
        </w:tc>
        <w:tc>
          <w:tcPr>
            <w:tcW w:w="2147" w:type="pct"/>
            <w:gridSpan w:val="2"/>
            <w:tcBorders>
              <w:top w:val="nil"/>
              <w:bottom w:val="single" w:sz="4" w:space="0" w:color="auto"/>
            </w:tcBorders>
            <w:shd w:val="clear" w:color="auto" w:fill="auto"/>
            <w:noWrap/>
            <w:vAlign w:val="center"/>
            <w:hideMark/>
          </w:tcPr>
          <w:p w14:paraId="4271BBCC" w14:textId="7B91787E"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Conduct quarterly data audits</w:t>
            </w:r>
          </w:p>
        </w:tc>
        <w:tc>
          <w:tcPr>
            <w:tcW w:w="1942" w:type="pct"/>
            <w:tcBorders>
              <w:top w:val="nil"/>
              <w:bottom w:val="single" w:sz="4" w:space="0" w:color="auto"/>
            </w:tcBorders>
            <w:shd w:val="clear" w:color="auto" w:fill="auto"/>
            <w:noWrap/>
            <w:vAlign w:val="center"/>
            <w:hideMark/>
          </w:tcPr>
          <w:p w14:paraId="203E5EEC" w14:textId="20B7C321"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Revise plan and additional testing</w:t>
            </w:r>
          </w:p>
        </w:tc>
      </w:tr>
      <w:tr w:rsidR="00AE3F19" w:rsidRPr="00AE3F19" w14:paraId="03367604" w14:textId="77777777" w:rsidTr="007D523A">
        <w:trPr>
          <w:trHeight w:val="240"/>
        </w:trPr>
        <w:tc>
          <w:tcPr>
            <w:tcW w:w="911" w:type="pct"/>
            <w:vMerge w:val="restart"/>
            <w:tcBorders>
              <w:top w:val="single" w:sz="4" w:space="0" w:color="auto"/>
            </w:tcBorders>
            <w:shd w:val="clear" w:color="auto" w:fill="auto"/>
            <w:noWrap/>
            <w:vAlign w:val="center"/>
            <w:hideMark/>
          </w:tcPr>
          <w:p w14:paraId="1ED048E0"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Accessibility Limitations</w:t>
            </w:r>
          </w:p>
        </w:tc>
        <w:tc>
          <w:tcPr>
            <w:tcW w:w="2147" w:type="pct"/>
            <w:gridSpan w:val="2"/>
            <w:tcBorders>
              <w:top w:val="single" w:sz="4" w:space="0" w:color="auto"/>
              <w:bottom w:val="nil"/>
            </w:tcBorders>
            <w:shd w:val="clear" w:color="auto" w:fill="auto"/>
            <w:noWrap/>
            <w:vAlign w:val="center"/>
            <w:hideMark/>
          </w:tcPr>
          <w:p w14:paraId="37887518"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Deploy Drones for Remote Inspections</w:t>
            </w:r>
          </w:p>
        </w:tc>
        <w:tc>
          <w:tcPr>
            <w:tcW w:w="1942" w:type="pct"/>
            <w:tcBorders>
              <w:top w:val="single" w:sz="4" w:space="0" w:color="auto"/>
              <w:bottom w:val="nil"/>
            </w:tcBorders>
            <w:shd w:val="clear" w:color="auto" w:fill="auto"/>
            <w:noWrap/>
            <w:vAlign w:val="center"/>
            <w:hideMark/>
          </w:tcPr>
          <w:p w14:paraId="0900EAA5"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Revise Repair Plans</w:t>
            </w:r>
          </w:p>
        </w:tc>
      </w:tr>
      <w:tr w:rsidR="00AE3F19" w:rsidRPr="00AE3F19" w14:paraId="1C35D2D3" w14:textId="77777777" w:rsidTr="007D523A">
        <w:trPr>
          <w:trHeight w:val="240"/>
        </w:trPr>
        <w:tc>
          <w:tcPr>
            <w:tcW w:w="911" w:type="pct"/>
            <w:vMerge/>
            <w:tcBorders>
              <w:bottom w:val="single" w:sz="4" w:space="0" w:color="auto"/>
            </w:tcBorders>
            <w:shd w:val="clear" w:color="auto" w:fill="auto"/>
            <w:noWrap/>
            <w:vAlign w:val="center"/>
            <w:hideMark/>
          </w:tcPr>
          <w:p w14:paraId="5B5A2229"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p>
        </w:tc>
        <w:tc>
          <w:tcPr>
            <w:tcW w:w="2147" w:type="pct"/>
            <w:gridSpan w:val="2"/>
            <w:tcBorders>
              <w:top w:val="nil"/>
              <w:bottom w:val="single" w:sz="4" w:space="0" w:color="auto"/>
            </w:tcBorders>
            <w:shd w:val="clear" w:color="auto" w:fill="auto"/>
            <w:noWrap/>
            <w:vAlign w:val="center"/>
            <w:hideMark/>
          </w:tcPr>
          <w:p w14:paraId="2BDD6D45" w14:textId="68B1C27A"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Conduct weekly pre-inspection surveys</w:t>
            </w:r>
          </w:p>
        </w:tc>
        <w:tc>
          <w:tcPr>
            <w:tcW w:w="1942" w:type="pct"/>
            <w:tcBorders>
              <w:top w:val="nil"/>
              <w:bottom w:val="single" w:sz="4" w:space="0" w:color="auto"/>
            </w:tcBorders>
            <w:shd w:val="clear" w:color="auto" w:fill="auto"/>
            <w:noWrap/>
            <w:vAlign w:val="center"/>
            <w:hideMark/>
          </w:tcPr>
          <w:p w14:paraId="68B5A989" w14:textId="44366BAD"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Focus on critical accessibility areas</w:t>
            </w:r>
          </w:p>
        </w:tc>
      </w:tr>
      <w:tr w:rsidR="00AE3F19" w:rsidRPr="00AE3F19" w14:paraId="450D5934" w14:textId="77777777" w:rsidTr="007D523A">
        <w:trPr>
          <w:trHeight w:val="240"/>
        </w:trPr>
        <w:tc>
          <w:tcPr>
            <w:tcW w:w="911" w:type="pct"/>
            <w:vMerge w:val="restart"/>
            <w:tcBorders>
              <w:top w:val="single" w:sz="4" w:space="0" w:color="auto"/>
            </w:tcBorders>
            <w:shd w:val="clear" w:color="auto" w:fill="auto"/>
            <w:noWrap/>
            <w:vAlign w:val="center"/>
            <w:hideMark/>
          </w:tcPr>
          <w:p w14:paraId="57E5AB43"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Overlooking Alternatives</w:t>
            </w:r>
          </w:p>
        </w:tc>
        <w:tc>
          <w:tcPr>
            <w:tcW w:w="2147" w:type="pct"/>
            <w:gridSpan w:val="2"/>
            <w:tcBorders>
              <w:top w:val="single" w:sz="4" w:space="0" w:color="auto"/>
              <w:bottom w:val="nil"/>
            </w:tcBorders>
            <w:shd w:val="clear" w:color="auto" w:fill="auto"/>
            <w:noWrap/>
            <w:vAlign w:val="center"/>
            <w:hideMark/>
          </w:tcPr>
          <w:p w14:paraId="20E8158A"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Structural root cause analysis</w:t>
            </w:r>
          </w:p>
        </w:tc>
        <w:tc>
          <w:tcPr>
            <w:tcW w:w="1942" w:type="pct"/>
            <w:tcBorders>
              <w:top w:val="single" w:sz="4" w:space="0" w:color="auto"/>
              <w:bottom w:val="nil"/>
            </w:tcBorders>
            <w:shd w:val="clear" w:color="auto" w:fill="auto"/>
            <w:noWrap/>
            <w:vAlign w:val="center"/>
            <w:hideMark/>
          </w:tcPr>
          <w:p w14:paraId="028F0DB4"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Conduct Post-Repair Inspections</w:t>
            </w:r>
          </w:p>
        </w:tc>
      </w:tr>
      <w:tr w:rsidR="00AE3F19" w:rsidRPr="00AE3F19" w14:paraId="3D439A2A" w14:textId="77777777" w:rsidTr="007D523A">
        <w:trPr>
          <w:trHeight w:val="240"/>
        </w:trPr>
        <w:tc>
          <w:tcPr>
            <w:tcW w:w="911" w:type="pct"/>
            <w:vMerge/>
            <w:tcBorders>
              <w:bottom w:val="single" w:sz="4" w:space="0" w:color="auto"/>
            </w:tcBorders>
            <w:shd w:val="clear" w:color="auto" w:fill="auto"/>
            <w:noWrap/>
            <w:vAlign w:val="center"/>
            <w:hideMark/>
          </w:tcPr>
          <w:p w14:paraId="2C23FD2E"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p>
        </w:tc>
        <w:tc>
          <w:tcPr>
            <w:tcW w:w="2147" w:type="pct"/>
            <w:gridSpan w:val="2"/>
            <w:tcBorders>
              <w:top w:val="nil"/>
              <w:bottom w:val="single" w:sz="4" w:space="0" w:color="auto"/>
            </w:tcBorders>
            <w:shd w:val="clear" w:color="auto" w:fill="auto"/>
            <w:noWrap/>
            <w:vAlign w:val="center"/>
            <w:hideMark/>
          </w:tcPr>
          <w:p w14:paraId="7BB49DA8" w14:textId="4A34C44A"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Perform monthly contributing causes analysis</w:t>
            </w:r>
          </w:p>
        </w:tc>
        <w:tc>
          <w:tcPr>
            <w:tcW w:w="1942" w:type="pct"/>
            <w:tcBorders>
              <w:top w:val="nil"/>
              <w:bottom w:val="single" w:sz="4" w:space="0" w:color="auto"/>
            </w:tcBorders>
            <w:shd w:val="clear" w:color="auto" w:fill="auto"/>
            <w:noWrap/>
            <w:vAlign w:val="center"/>
            <w:hideMark/>
          </w:tcPr>
          <w:p w14:paraId="5B112EF7" w14:textId="1C3662B3"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Revaluate root causes and revise repair actions</w:t>
            </w:r>
          </w:p>
        </w:tc>
      </w:tr>
      <w:tr w:rsidR="00AE3F19" w:rsidRPr="00AE3F19" w14:paraId="07698F5E" w14:textId="77777777" w:rsidTr="007D523A">
        <w:trPr>
          <w:trHeight w:val="240"/>
        </w:trPr>
        <w:tc>
          <w:tcPr>
            <w:tcW w:w="911" w:type="pct"/>
            <w:vMerge w:val="restart"/>
            <w:tcBorders>
              <w:top w:val="single" w:sz="4" w:space="0" w:color="auto"/>
            </w:tcBorders>
            <w:shd w:val="clear" w:color="auto" w:fill="auto"/>
            <w:noWrap/>
            <w:vAlign w:val="center"/>
            <w:hideMark/>
          </w:tcPr>
          <w:p w14:paraId="657E0E54"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Financial Risk</w:t>
            </w:r>
          </w:p>
        </w:tc>
        <w:tc>
          <w:tcPr>
            <w:tcW w:w="2147" w:type="pct"/>
            <w:gridSpan w:val="2"/>
            <w:tcBorders>
              <w:top w:val="single" w:sz="4" w:space="0" w:color="auto"/>
              <w:bottom w:val="nil"/>
            </w:tcBorders>
            <w:shd w:val="clear" w:color="auto" w:fill="auto"/>
            <w:noWrap/>
            <w:vAlign w:val="center"/>
            <w:hideMark/>
          </w:tcPr>
          <w:p w14:paraId="2FF89AE3"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Establish a Realistic Schedule with key Milestones</w:t>
            </w:r>
          </w:p>
        </w:tc>
        <w:tc>
          <w:tcPr>
            <w:tcW w:w="1942" w:type="pct"/>
            <w:tcBorders>
              <w:top w:val="single" w:sz="4" w:space="0" w:color="auto"/>
              <w:bottom w:val="nil"/>
            </w:tcBorders>
            <w:shd w:val="clear" w:color="auto" w:fill="auto"/>
            <w:noWrap/>
            <w:vAlign w:val="center"/>
            <w:hideMark/>
          </w:tcPr>
          <w:p w14:paraId="6F5ABF4B" w14:textId="72CAC4BA"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Analyse Cost overruns and stabilise the cause</w:t>
            </w:r>
          </w:p>
        </w:tc>
      </w:tr>
      <w:tr w:rsidR="00AE3F19" w:rsidRPr="00AE3F19" w14:paraId="5910D165" w14:textId="77777777" w:rsidTr="007D523A">
        <w:trPr>
          <w:trHeight w:val="240"/>
        </w:trPr>
        <w:tc>
          <w:tcPr>
            <w:tcW w:w="911" w:type="pct"/>
            <w:vMerge/>
            <w:tcBorders>
              <w:bottom w:val="single" w:sz="4" w:space="0" w:color="auto"/>
            </w:tcBorders>
            <w:shd w:val="clear" w:color="auto" w:fill="auto"/>
            <w:noWrap/>
            <w:vAlign w:val="center"/>
            <w:hideMark/>
          </w:tcPr>
          <w:p w14:paraId="77ADCB02"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p>
        </w:tc>
        <w:tc>
          <w:tcPr>
            <w:tcW w:w="2147" w:type="pct"/>
            <w:gridSpan w:val="2"/>
            <w:tcBorders>
              <w:top w:val="nil"/>
              <w:bottom w:val="single" w:sz="4" w:space="0" w:color="auto"/>
            </w:tcBorders>
            <w:shd w:val="clear" w:color="auto" w:fill="auto"/>
            <w:noWrap/>
            <w:vAlign w:val="center"/>
            <w:hideMark/>
          </w:tcPr>
          <w:p w14:paraId="6151FEF7" w14:textId="790530B1"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Establish earned value management practices</w:t>
            </w:r>
          </w:p>
        </w:tc>
        <w:tc>
          <w:tcPr>
            <w:tcW w:w="1942" w:type="pct"/>
            <w:tcBorders>
              <w:top w:val="nil"/>
              <w:bottom w:val="single" w:sz="4" w:space="0" w:color="auto"/>
            </w:tcBorders>
            <w:shd w:val="clear" w:color="auto" w:fill="auto"/>
            <w:noWrap/>
            <w:vAlign w:val="center"/>
            <w:hideMark/>
          </w:tcPr>
          <w:p w14:paraId="21AF31A8" w14:textId="03268371"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Explore new funding alternatives</w:t>
            </w:r>
          </w:p>
        </w:tc>
      </w:tr>
      <w:tr w:rsidR="00AE3F19" w:rsidRPr="00AE3F19" w14:paraId="14F43D95" w14:textId="77777777" w:rsidTr="007D523A">
        <w:trPr>
          <w:trHeight w:val="240"/>
        </w:trPr>
        <w:tc>
          <w:tcPr>
            <w:tcW w:w="911" w:type="pct"/>
            <w:vMerge w:val="restart"/>
            <w:tcBorders>
              <w:top w:val="single" w:sz="4" w:space="0" w:color="auto"/>
            </w:tcBorders>
            <w:shd w:val="clear" w:color="auto" w:fill="auto"/>
            <w:noWrap/>
            <w:vAlign w:val="center"/>
            <w:hideMark/>
          </w:tcPr>
          <w:p w14:paraId="753E07F3"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Operational Risk</w:t>
            </w:r>
          </w:p>
        </w:tc>
        <w:tc>
          <w:tcPr>
            <w:tcW w:w="2147" w:type="pct"/>
            <w:gridSpan w:val="2"/>
            <w:tcBorders>
              <w:top w:val="single" w:sz="4" w:space="0" w:color="auto"/>
              <w:bottom w:val="nil"/>
            </w:tcBorders>
            <w:shd w:val="clear" w:color="auto" w:fill="auto"/>
            <w:noWrap/>
            <w:vAlign w:val="center"/>
            <w:hideMark/>
          </w:tcPr>
          <w:p w14:paraId="67C3E392" w14:textId="3EC6BE58" w:rsidR="00AE3F19" w:rsidRPr="00AE3F19" w:rsidRDefault="00205DE6" w:rsidP="00AE3F19">
            <w:pPr>
              <w:overflowPunct/>
              <w:autoSpaceDE/>
              <w:autoSpaceDN/>
              <w:adjustRightInd/>
              <w:spacing w:line="240" w:lineRule="auto"/>
              <w:ind w:firstLine="0"/>
              <w:jc w:val="left"/>
              <w:textAlignment w:val="auto"/>
              <w:rPr>
                <w:color w:val="000000"/>
                <w:sz w:val="18"/>
                <w:szCs w:val="18"/>
                <w:lang w:val="en-IN" w:eastAsia="en-IN"/>
              </w:rPr>
            </w:pPr>
            <w:r>
              <w:rPr>
                <w:color w:val="000000"/>
                <w:sz w:val="18"/>
                <w:szCs w:val="18"/>
                <w:lang w:val="en-IN" w:eastAsia="en-IN"/>
              </w:rPr>
              <w:t xml:space="preserve">Timely maintenance of machinery </w:t>
            </w:r>
            <w:r w:rsidR="00424BE7">
              <w:rPr>
                <w:color w:val="000000"/>
                <w:sz w:val="18"/>
                <w:szCs w:val="18"/>
                <w:lang w:val="en-IN" w:eastAsia="en-IN"/>
              </w:rPr>
              <w:t>equipment</w:t>
            </w:r>
          </w:p>
        </w:tc>
        <w:tc>
          <w:tcPr>
            <w:tcW w:w="1942" w:type="pct"/>
            <w:tcBorders>
              <w:top w:val="single" w:sz="4" w:space="0" w:color="auto"/>
              <w:bottom w:val="nil"/>
            </w:tcBorders>
            <w:shd w:val="clear" w:color="auto" w:fill="auto"/>
            <w:noWrap/>
            <w:vAlign w:val="center"/>
            <w:hideMark/>
          </w:tcPr>
          <w:p w14:paraId="60FE4043"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Implement Corrective Actions within a Month of Issue Identification</w:t>
            </w:r>
          </w:p>
        </w:tc>
      </w:tr>
      <w:tr w:rsidR="00AE3F19" w:rsidRPr="00AE3F19" w14:paraId="29F18C6B" w14:textId="77777777" w:rsidTr="007D523A">
        <w:trPr>
          <w:trHeight w:val="240"/>
        </w:trPr>
        <w:tc>
          <w:tcPr>
            <w:tcW w:w="911" w:type="pct"/>
            <w:vMerge/>
            <w:tcBorders>
              <w:bottom w:val="single" w:sz="4" w:space="0" w:color="auto"/>
            </w:tcBorders>
            <w:shd w:val="clear" w:color="auto" w:fill="auto"/>
            <w:noWrap/>
            <w:vAlign w:val="center"/>
            <w:hideMark/>
          </w:tcPr>
          <w:p w14:paraId="78EB3E8A"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p>
        </w:tc>
        <w:tc>
          <w:tcPr>
            <w:tcW w:w="2147" w:type="pct"/>
            <w:gridSpan w:val="2"/>
            <w:tcBorders>
              <w:top w:val="nil"/>
              <w:bottom w:val="single" w:sz="4" w:space="0" w:color="auto"/>
            </w:tcBorders>
            <w:shd w:val="clear" w:color="auto" w:fill="auto"/>
            <w:noWrap/>
            <w:vAlign w:val="center"/>
            <w:hideMark/>
          </w:tcPr>
          <w:p w14:paraId="73CB23EC" w14:textId="7CE5BD5E"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Perform regular Quality Control and Quality Assurance Checks</w:t>
            </w:r>
          </w:p>
        </w:tc>
        <w:tc>
          <w:tcPr>
            <w:tcW w:w="1942" w:type="pct"/>
            <w:tcBorders>
              <w:top w:val="nil"/>
              <w:bottom w:val="single" w:sz="4" w:space="0" w:color="auto"/>
            </w:tcBorders>
            <w:shd w:val="clear" w:color="auto" w:fill="auto"/>
            <w:noWrap/>
            <w:vAlign w:val="center"/>
            <w:hideMark/>
          </w:tcPr>
          <w:p w14:paraId="532E153C" w14:textId="4F315B2D"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Address Communication gaps</w:t>
            </w:r>
          </w:p>
        </w:tc>
      </w:tr>
      <w:tr w:rsidR="00AE3F19" w:rsidRPr="00AE3F19" w14:paraId="09BF7A31" w14:textId="77777777" w:rsidTr="007D523A">
        <w:trPr>
          <w:trHeight w:val="240"/>
        </w:trPr>
        <w:tc>
          <w:tcPr>
            <w:tcW w:w="911" w:type="pct"/>
            <w:vMerge w:val="restart"/>
            <w:tcBorders>
              <w:top w:val="single" w:sz="4" w:space="0" w:color="auto"/>
            </w:tcBorders>
            <w:shd w:val="clear" w:color="auto" w:fill="auto"/>
            <w:noWrap/>
            <w:vAlign w:val="center"/>
            <w:hideMark/>
          </w:tcPr>
          <w:p w14:paraId="32A4B4BF"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Safety Risk</w:t>
            </w:r>
          </w:p>
        </w:tc>
        <w:tc>
          <w:tcPr>
            <w:tcW w:w="2147" w:type="pct"/>
            <w:gridSpan w:val="2"/>
            <w:tcBorders>
              <w:top w:val="single" w:sz="4" w:space="0" w:color="auto"/>
              <w:bottom w:val="nil"/>
            </w:tcBorders>
            <w:shd w:val="clear" w:color="auto" w:fill="auto"/>
            <w:noWrap/>
            <w:vAlign w:val="center"/>
            <w:hideMark/>
          </w:tcPr>
          <w:p w14:paraId="73B6CEFD" w14:textId="1D36BA92" w:rsidR="00AE3F19" w:rsidRPr="00AE3F19" w:rsidRDefault="009C51AB" w:rsidP="00AE3F19">
            <w:pPr>
              <w:overflowPunct/>
              <w:autoSpaceDE/>
              <w:autoSpaceDN/>
              <w:adjustRightInd/>
              <w:spacing w:line="240" w:lineRule="auto"/>
              <w:ind w:firstLine="0"/>
              <w:jc w:val="left"/>
              <w:textAlignment w:val="auto"/>
              <w:rPr>
                <w:color w:val="000000"/>
                <w:sz w:val="18"/>
                <w:szCs w:val="18"/>
                <w:lang w:val="en-IN" w:eastAsia="en-IN"/>
              </w:rPr>
            </w:pPr>
            <w:r>
              <w:rPr>
                <w:color w:val="000000"/>
                <w:sz w:val="18"/>
                <w:szCs w:val="18"/>
                <w:lang w:val="en-IN" w:eastAsia="en-IN"/>
              </w:rPr>
              <w:t>Frequently updating</w:t>
            </w:r>
            <w:r w:rsidR="00205DE6" w:rsidRPr="00AE3F19">
              <w:rPr>
                <w:color w:val="000000"/>
                <w:sz w:val="18"/>
                <w:szCs w:val="18"/>
                <w:lang w:val="en-IN" w:eastAsia="en-IN"/>
              </w:rPr>
              <w:t xml:space="preserve"> safety</w:t>
            </w:r>
            <w:r>
              <w:rPr>
                <w:color w:val="000000"/>
                <w:sz w:val="18"/>
                <w:szCs w:val="18"/>
                <w:lang w:val="en-IN" w:eastAsia="en-IN"/>
              </w:rPr>
              <w:t xml:space="preserve"> </w:t>
            </w:r>
            <w:r w:rsidR="00205DE6" w:rsidRPr="00AE3F19">
              <w:rPr>
                <w:color w:val="000000"/>
                <w:sz w:val="18"/>
                <w:szCs w:val="18"/>
                <w:lang w:val="en-IN" w:eastAsia="en-IN"/>
              </w:rPr>
              <w:t>protocols</w:t>
            </w:r>
          </w:p>
        </w:tc>
        <w:tc>
          <w:tcPr>
            <w:tcW w:w="1942" w:type="pct"/>
            <w:tcBorders>
              <w:top w:val="single" w:sz="4" w:space="0" w:color="auto"/>
              <w:bottom w:val="nil"/>
            </w:tcBorders>
            <w:shd w:val="clear" w:color="auto" w:fill="auto"/>
            <w:noWrap/>
            <w:vAlign w:val="center"/>
            <w:hideMark/>
          </w:tcPr>
          <w:p w14:paraId="472FA450"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Investigate Safety Incidents within 48 Hours</w:t>
            </w:r>
          </w:p>
        </w:tc>
      </w:tr>
      <w:tr w:rsidR="00AE3F19" w:rsidRPr="00AE3F19" w14:paraId="5A292590" w14:textId="77777777" w:rsidTr="007D523A">
        <w:trPr>
          <w:trHeight w:val="240"/>
        </w:trPr>
        <w:tc>
          <w:tcPr>
            <w:tcW w:w="911" w:type="pct"/>
            <w:vMerge/>
            <w:tcBorders>
              <w:bottom w:val="single" w:sz="4" w:space="0" w:color="auto"/>
            </w:tcBorders>
            <w:shd w:val="clear" w:color="auto" w:fill="auto"/>
            <w:noWrap/>
            <w:vAlign w:val="center"/>
            <w:hideMark/>
          </w:tcPr>
          <w:p w14:paraId="11BF5736"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p>
        </w:tc>
        <w:tc>
          <w:tcPr>
            <w:tcW w:w="2147" w:type="pct"/>
            <w:gridSpan w:val="2"/>
            <w:tcBorders>
              <w:top w:val="nil"/>
              <w:bottom w:val="single" w:sz="4" w:space="0" w:color="auto"/>
            </w:tcBorders>
            <w:shd w:val="clear" w:color="auto" w:fill="auto"/>
            <w:noWrap/>
            <w:vAlign w:val="center"/>
            <w:hideMark/>
          </w:tcPr>
          <w:p w14:paraId="748168F0" w14:textId="229CA6F6"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 xml:space="preserve">Conduct quarterly </w:t>
            </w:r>
            <w:r>
              <w:rPr>
                <w:color w:val="000000"/>
                <w:sz w:val="18"/>
                <w:szCs w:val="18"/>
                <w:lang w:val="en-IN" w:eastAsia="en-IN"/>
              </w:rPr>
              <w:t>PPE</w:t>
            </w:r>
            <w:r w:rsidRPr="00AE3F19">
              <w:rPr>
                <w:color w:val="000000"/>
                <w:sz w:val="18"/>
                <w:szCs w:val="18"/>
                <w:lang w:val="en-IN" w:eastAsia="en-IN"/>
              </w:rPr>
              <w:t xml:space="preserve"> (personal protective equipment) audits</w:t>
            </w:r>
          </w:p>
        </w:tc>
        <w:tc>
          <w:tcPr>
            <w:tcW w:w="1942" w:type="pct"/>
            <w:tcBorders>
              <w:top w:val="nil"/>
              <w:bottom w:val="single" w:sz="4" w:space="0" w:color="auto"/>
            </w:tcBorders>
            <w:shd w:val="clear" w:color="auto" w:fill="auto"/>
            <w:noWrap/>
            <w:vAlign w:val="center"/>
            <w:hideMark/>
          </w:tcPr>
          <w:p w14:paraId="23A3B37A" w14:textId="698118A6"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 xml:space="preserve">Establish </w:t>
            </w:r>
            <w:r w:rsidR="00424BE7">
              <w:rPr>
                <w:color w:val="000000"/>
                <w:sz w:val="18"/>
                <w:szCs w:val="18"/>
                <w:lang w:val="en-IN" w:eastAsia="en-IN"/>
              </w:rPr>
              <w:t xml:space="preserve">a </w:t>
            </w:r>
            <w:r w:rsidRPr="00AE3F19">
              <w:rPr>
                <w:color w:val="000000"/>
                <w:sz w:val="18"/>
                <w:szCs w:val="18"/>
                <w:lang w:val="en-IN" w:eastAsia="en-IN"/>
              </w:rPr>
              <w:t>safety audit team</w:t>
            </w:r>
          </w:p>
        </w:tc>
      </w:tr>
      <w:tr w:rsidR="00AE3F19" w:rsidRPr="00AE3F19" w14:paraId="1EF8E655" w14:textId="77777777" w:rsidTr="007D523A">
        <w:trPr>
          <w:trHeight w:val="240"/>
        </w:trPr>
        <w:tc>
          <w:tcPr>
            <w:tcW w:w="911" w:type="pct"/>
            <w:vMerge w:val="restart"/>
            <w:tcBorders>
              <w:top w:val="single" w:sz="4" w:space="0" w:color="auto"/>
            </w:tcBorders>
            <w:shd w:val="clear" w:color="auto" w:fill="auto"/>
            <w:noWrap/>
            <w:vAlign w:val="center"/>
            <w:hideMark/>
          </w:tcPr>
          <w:p w14:paraId="7792E1C5" w14:textId="77777777"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Unforeseen Consequences</w:t>
            </w:r>
          </w:p>
        </w:tc>
        <w:tc>
          <w:tcPr>
            <w:tcW w:w="2147" w:type="pct"/>
            <w:gridSpan w:val="2"/>
            <w:tcBorders>
              <w:top w:val="single" w:sz="4" w:space="0" w:color="auto"/>
            </w:tcBorders>
            <w:shd w:val="clear" w:color="auto" w:fill="auto"/>
            <w:noWrap/>
            <w:vAlign w:val="center"/>
            <w:hideMark/>
          </w:tcPr>
          <w:p w14:paraId="58EC4850" w14:textId="4EEDF55F"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Conduct monthly engineering reviews</w:t>
            </w:r>
          </w:p>
        </w:tc>
        <w:tc>
          <w:tcPr>
            <w:tcW w:w="1942" w:type="pct"/>
            <w:tcBorders>
              <w:top w:val="single" w:sz="4" w:space="0" w:color="auto"/>
            </w:tcBorders>
            <w:shd w:val="clear" w:color="auto" w:fill="auto"/>
            <w:noWrap/>
            <w:vAlign w:val="center"/>
            <w:hideMark/>
          </w:tcPr>
          <w:p w14:paraId="7B9F07BD" w14:textId="6D7DEBC0"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Monitor repaired structure weekly</w:t>
            </w:r>
          </w:p>
        </w:tc>
      </w:tr>
      <w:tr w:rsidR="00AE3F19" w:rsidRPr="00AE3F19" w14:paraId="59E46BD2" w14:textId="77777777" w:rsidTr="007D523A">
        <w:trPr>
          <w:trHeight w:val="240"/>
        </w:trPr>
        <w:tc>
          <w:tcPr>
            <w:tcW w:w="911" w:type="pct"/>
            <w:vMerge/>
            <w:shd w:val="clear" w:color="auto" w:fill="auto"/>
            <w:noWrap/>
            <w:vAlign w:val="center"/>
            <w:hideMark/>
          </w:tcPr>
          <w:p w14:paraId="4DA90A58" w14:textId="77777777" w:rsidR="00AE3F19" w:rsidRPr="00AE3F19" w:rsidRDefault="00AE3F19" w:rsidP="00AE3F19">
            <w:pPr>
              <w:overflowPunct/>
              <w:autoSpaceDE/>
              <w:autoSpaceDN/>
              <w:adjustRightInd/>
              <w:spacing w:line="240" w:lineRule="auto"/>
              <w:ind w:firstLine="0"/>
              <w:jc w:val="center"/>
              <w:textAlignment w:val="auto"/>
              <w:rPr>
                <w:color w:val="000000"/>
                <w:sz w:val="18"/>
                <w:szCs w:val="18"/>
                <w:lang w:val="en-IN" w:eastAsia="en-IN"/>
              </w:rPr>
            </w:pPr>
          </w:p>
        </w:tc>
        <w:tc>
          <w:tcPr>
            <w:tcW w:w="2147" w:type="pct"/>
            <w:gridSpan w:val="2"/>
            <w:shd w:val="clear" w:color="auto" w:fill="auto"/>
            <w:noWrap/>
            <w:vAlign w:val="center"/>
            <w:hideMark/>
          </w:tcPr>
          <w:p w14:paraId="68FEA609" w14:textId="6C74BEF0"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Simulate 5 possible failure scenarios</w:t>
            </w:r>
          </w:p>
        </w:tc>
        <w:tc>
          <w:tcPr>
            <w:tcW w:w="1942" w:type="pct"/>
            <w:shd w:val="clear" w:color="auto" w:fill="auto"/>
            <w:noWrap/>
            <w:vAlign w:val="center"/>
            <w:hideMark/>
          </w:tcPr>
          <w:p w14:paraId="0C349FD5" w14:textId="5A5958D4" w:rsidR="00AE3F19" w:rsidRPr="00AE3F19" w:rsidRDefault="00AE3F19" w:rsidP="00AE3F19">
            <w:pPr>
              <w:overflowPunct/>
              <w:autoSpaceDE/>
              <w:autoSpaceDN/>
              <w:adjustRightInd/>
              <w:spacing w:line="240" w:lineRule="auto"/>
              <w:ind w:firstLine="0"/>
              <w:jc w:val="left"/>
              <w:textAlignment w:val="auto"/>
              <w:rPr>
                <w:color w:val="000000"/>
                <w:sz w:val="18"/>
                <w:szCs w:val="18"/>
                <w:lang w:val="en-IN" w:eastAsia="en-IN"/>
              </w:rPr>
            </w:pPr>
            <w:r w:rsidRPr="00AE3F19">
              <w:rPr>
                <w:color w:val="000000"/>
                <w:sz w:val="18"/>
                <w:szCs w:val="18"/>
                <w:lang w:val="en-IN" w:eastAsia="en-IN"/>
              </w:rPr>
              <w:t>Revise plan within 1 week if necessary</w:t>
            </w:r>
          </w:p>
        </w:tc>
      </w:tr>
    </w:tbl>
    <w:p w14:paraId="28F692BE" w14:textId="77777777" w:rsidR="007D523A" w:rsidRDefault="007D523A" w:rsidP="007D523A">
      <w:pPr>
        <w:ind w:firstLine="0"/>
      </w:pPr>
    </w:p>
    <w:p w14:paraId="7B3E882C" w14:textId="3F688D03" w:rsidR="007D523A" w:rsidRDefault="007D523A" w:rsidP="007D523A">
      <w:pPr>
        <w:ind w:firstLine="0"/>
      </w:pPr>
      <w:r>
        <w:t>Preventive measures reduce the likelihood, whereas responsive measures mitigate the impact of risks. With the application of these measures, the risk assessment through the AHP has shown improved consistency ratios, thereby ensuring acceptable levels.</w:t>
      </w:r>
    </w:p>
    <w:p w14:paraId="28FAFA7E" w14:textId="77777777" w:rsidR="007D523A" w:rsidRDefault="007D523A" w:rsidP="007D523A">
      <w:r w:rsidRPr="00715E67">
        <w:lastRenderedPageBreak/>
        <w:t xml:space="preserve">The categorized risks and recommended control measures can be </w:t>
      </w:r>
      <w:r>
        <w:t xml:space="preserve">also </w:t>
      </w:r>
      <w:r w:rsidRPr="00715E67">
        <w:t>applied to similar new projects from the pre-construction stage to ensure smooth construction practices, optimal structural performance and serviceability, and cost-effective financial solutions.</w:t>
      </w:r>
    </w:p>
    <w:p w14:paraId="49CD04D9" w14:textId="77777777" w:rsidR="00AE3F19" w:rsidRPr="00AE3F19" w:rsidRDefault="00AE3F19" w:rsidP="00AE3F19">
      <w:pPr>
        <w:ind w:firstLine="0"/>
      </w:pPr>
    </w:p>
    <w:p w14:paraId="451A18BD" w14:textId="77777777" w:rsidR="00FC6D72" w:rsidRDefault="00FC6D72" w:rsidP="00FC6D72">
      <w:pPr>
        <w:pStyle w:val="heading1"/>
      </w:pPr>
      <w:r>
        <w:t>Conclusions</w:t>
      </w:r>
    </w:p>
    <w:p w14:paraId="1533E22E" w14:textId="77777777" w:rsidR="00FC6D72" w:rsidRPr="00FC6D72" w:rsidRDefault="00FC6D72" w:rsidP="00FC6D72">
      <w:pPr>
        <w:pStyle w:val="p1a"/>
      </w:pPr>
      <w:r w:rsidRPr="00FC6D72">
        <w:t xml:space="preserve">The study integrated forensic structural investigation data with risk assessment to enhance the evaluation and management of risks in flyover bridge projects. By utilizing both qualitative (Risk Matrix) and quantitative (AHP) approaches, this study identified and prioritized critical risks across pre-construction, construction, and post-construction phases. The developed framework, which provides an integrated risk assessment through a Risk Matrix and AHP approaches using forensic investigation data, was applied to a flyover case study. The comparative analysis reveals that while the Risk Matrix provides a quick and broad assessment, the AHP offers a systematic and detailed risk prioritization through pairwise comparisons. The critical risks prioritized by this integrated framework are linked to the root causes of distress identified in the construction phase, demonstrating the framework’s efficiency. However, the study suggests further exploration into fuzzy-based AHP for greater quantification. The critical risks identified in the post-construction phase can be mitigated by implementing the recommended control measures, focusing on retrofitting processes and future maintenance and monitoring phases post-retrofitting. </w:t>
      </w:r>
    </w:p>
    <w:p w14:paraId="0278B82F" w14:textId="77777777" w:rsidR="00FC6D72" w:rsidRPr="00D05BED" w:rsidRDefault="00FC6D72" w:rsidP="00FC6D72">
      <w:r>
        <w:t>The identified risks and corresponding control measures can be utilized in similar future projects, starting from the pre-construction phase. This approach will promote efficient construction practices with safety concerns, ensure optimal structural performance and serviceability, and provide cost-effective financial solutions.</w:t>
      </w:r>
    </w:p>
    <w:p w14:paraId="6C3EA2C3" w14:textId="77777777" w:rsidR="00FC6D72" w:rsidRDefault="00FC6D72" w:rsidP="009679C0">
      <w:pPr>
        <w:pStyle w:val="heading1"/>
        <w:numPr>
          <w:ilvl w:val="0"/>
          <w:numId w:val="0"/>
        </w:numPr>
        <w:ind w:left="567" w:hanging="567"/>
      </w:pPr>
      <w:r>
        <w:t>References</w:t>
      </w:r>
    </w:p>
    <w:p w14:paraId="39F6FBD1" w14:textId="189B919E" w:rsidR="00FC6D72" w:rsidRPr="006B0071" w:rsidRDefault="00FC6D72" w:rsidP="00FC6D72">
      <w:pPr>
        <w:pStyle w:val="referenceitem"/>
        <w:rPr>
          <w:shd w:val="clear" w:color="auto" w:fill="FFFFFF"/>
        </w:rPr>
      </w:pPr>
      <w:r w:rsidRPr="006B0071">
        <w:rPr>
          <w:shd w:val="clear" w:color="auto" w:fill="FFFFFF"/>
        </w:rPr>
        <w:t xml:space="preserve">Renzi, E., Rossi, A., </w:t>
      </w:r>
      <w:proofErr w:type="spellStart"/>
      <w:r w:rsidRPr="006B0071">
        <w:rPr>
          <w:shd w:val="clear" w:color="auto" w:fill="FFFFFF"/>
        </w:rPr>
        <w:t>Tamasi</w:t>
      </w:r>
      <w:proofErr w:type="spellEnd"/>
      <w:r w:rsidRPr="006B0071">
        <w:rPr>
          <w:shd w:val="clear" w:color="auto" w:fill="FFFFFF"/>
        </w:rPr>
        <w:t xml:space="preserve">, G., </w:t>
      </w:r>
      <w:proofErr w:type="spellStart"/>
      <w:r w:rsidRPr="006B0071">
        <w:rPr>
          <w:shd w:val="clear" w:color="auto" w:fill="FFFFFF"/>
        </w:rPr>
        <w:t>Tabelli</w:t>
      </w:r>
      <w:proofErr w:type="spellEnd"/>
      <w:r w:rsidRPr="006B0071">
        <w:rPr>
          <w:shd w:val="clear" w:color="auto" w:fill="FFFFFF"/>
        </w:rPr>
        <w:t xml:space="preserve">, G., </w:t>
      </w:r>
      <w:proofErr w:type="spellStart"/>
      <w:r w:rsidRPr="006B0071">
        <w:rPr>
          <w:shd w:val="clear" w:color="auto" w:fill="FFFFFF"/>
        </w:rPr>
        <w:t>Miccinelli</w:t>
      </w:r>
      <w:proofErr w:type="spellEnd"/>
      <w:r w:rsidRPr="006B0071">
        <w:rPr>
          <w:shd w:val="clear" w:color="auto" w:fill="FFFFFF"/>
        </w:rPr>
        <w:t xml:space="preserve">, C., </w:t>
      </w:r>
      <w:proofErr w:type="spellStart"/>
      <w:r w:rsidRPr="006B0071">
        <w:rPr>
          <w:shd w:val="clear" w:color="auto" w:fill="FFFFFF"/>
        </w:rPr>
        <w:t>Lanzi</w:t>
      </w:r>
      <w:proofErr w:type="spellEnd"/>
      <w:r w:rsidRPr="006B0071">
        <w:rPr>
          <w:shd w:val="clear" w:color="auto" w:fill="FFFFFF"/>
        </w:rPr>
        <w:t xml:space="preserve">, A., ... &amp; </w:t>
      </w:r>
      <w:proofErr w:type="spellStart"/>
      <w:r w:rsidRPr="006B0071">
        <w:rPr>
          <w:shd w:val="clear" w:color="auto" w:fill="FFFFFF"/>
        </w:rPr>
        <w:t>Trifarò</w:t>
      </w:r>
      <w:proofErr w:type="spellEnd"/>
      <w:r w:rsidRPr="006B0071">
        <w:rPr>
          <w:shd w:val="clear" w:color="auto" w:fill="FFFFFF"/>
        </w:rPr>
        <w:t>, C. A. (2023). Operating instructions to the guidelines for risk classification and management, safety assessment</w:t>
      </w:r>
      <w:r w:rsidR="00424BE7">
        <w:rPr>
          <w:shd w:val="clear" w:color="auto" w:fill="FFFFFF"/>
        </w:rPr>
        <w:t>,</w:t>
      </w:r>
      <w:r w:rsidRPr="006B0071">
        <w:rPr>
          <w:shd w:val="clear" w:color="auto" w:fill="FFFFFF"/>
        </w:rPr>
        <w:t xml:space="preserve"> and monitoring of existing bridges and seismic risk. </w:t>
      </w:r>
      <w:r w:rsidRPr="006B0071">
        <w:rPr>
          <w:iCs/>
          <w:shd w:val="clear" w:color="auto" w:fill="FFFFFF"/>
        </w:rPr>
        <w:t>Procedia Structural Integrity</w:t>
      </w:r>
      <w:r w:rsidRPr="006B0071">
        <w:rPr>
          <w:shd w:val="clear" w:color="auto" w:fill="FFFFFF"/>
        </w:rPr>
        <w:t>, </w:t>
      </w:r>
      <w:r w:rsidRPr="006B0071">
        <w:rPr>
          <w:iCs/>
          <w:shd w:val="clear" w:color="auto" w:fill="FFFFFF"/>
        </w:rPr>
        <w:t>44</w:t>
      </w:r>
      <w:r w:rsidRPr="006B0071">
        <w:rPr>
          <w:shd w:val="clear" w:color="auto" w:fill="FFFFFF"/>
        </w:rPr>
        <w:t>, 737-744.</w:t>
      </w:r>
    </w:p>
    <w:p w14:paraId="53275DC3" w14:textId="77777777" w:rsidR="00FC6D72" w:rsidRPr="006B0071" w:rsidRDefault="00FC6D72" w:rsidP="00FC6D72">
      <w:pPr>
        <w:pStyle w:val="referenceitem"/>
        <w:rPr>
          <w:shd w:val="clear" w:color="auto" w:fill="FFFFFF"/>
        </w:rPr>
      </w:pPr>
      <w:proofErr w:type="spellStart"/>
      <w:r w:rsidRPr="006B0071">
        <w:rPr>
          <w:shd w:val="clear" w:color="auto" w:fill="FFFFFF"/>
        </w:rPr>
        <w:t>Cutrone</w:t>
      </w:r>
      <w:proofErr w:type="spellEnd"/>
      <w:r w:rsidRPr="006B0071">
        <w:rPr>
          <w:shd w:val="clear" w:color="auto" w:fill="FFFFFF"/>
        </w:rPr>
        <w:t xml:space="preserve">, B., Salvatore, W., Renzi, E., &amp; </w:t>
      </w:r>
      <w:proofErr w:type="spellStart"/>
      <w:r w:rsidRPr="006B0071">
        <w:rPr>
          <w:shd w:val="clear" w:color="auto" w:fill="FFFFFF"/>
        </w:rPr>
        <w:t>Tamasi</w:t>
      </w:r>
      <w:proofErr w:type="spellEnd"/>
      <w:r w:rsidRPr="006B0071">
        <w:rPr>
          <w:shd w:val="clear" w:color="auto" w:fill="FFFFFF"/>
        </w:rPr>
        <w:t>, G. (2023). “Guidelines for the classification and management of risk, for the evaluation of safety and for the monitoring of existing bridges”. Critical analysis and identification of innovative methods to improve the classification of landslide risk. </w:t>
      </w:r>
      <w:r w:rsidRPr="006B0071">
        <w:rPr>
          <w:iCs/>
          <w:shd w:val="clear" w:color="auto" w:fill="FFFFFF"/>
        </w:rPr>
        <w:t>Procedia Structural Integrity</w:t>
      </w:r>
      <w:r w:rsidRPr="006B0071">
        <w:rPr>
          <w:shd w:val="clear" w:color="auto" w:fill="FFFFFF"/>
        </w:rPr>
        <w:t>, </w:t>
      </w:r>
      <w:r w:rsidRPr="006B0071">
        <w:rPr>
          <w:iCs/>
          <w:shd w:val="clear" w:color="auto" w:fill="FFFFFF"/>
        </w:rPr>
        <w:t>44</w:t>
      </w:r>
      <w:r w:rsidRPr="006B0071">
        <w:rPr>
          <w:shd w:val="clear" w:color="auto" w:fill="FFFFFF"/>
        </w:rPr>
        <w:t>, 713-720.</w:t>
      </w:r>
    </w:p>
    <w:p w14:paraId="2844DDB4" w14:textId="77777777" w:rsidR="00FC6D72" w:rsidRPr="006B0071" w:rsidRDefault="00FC6D72" w:rsidP="00FC6D72">
      <w:pPr>
        <w:pStyle w:val="referenceitem"/>
        <w:rPr>
          <w:shd w:val="clear" w:color="auto" w:fill="FFFFFF"/>
        </w:rPr>
      </w:pPr>
      <w:r w:rsidRPr="006B0071">
        <w:rPr>
          <w:shd w:val="clear" w:color="auto" w:fill="FFFFFF"/>
        </w:rPr>
        <w:t>Fu, T., Li, X., Xu, W., Wang, J., Zhang, L., Ye, L., &amp; Yu, R. (2023). Risk analysis of bridge maintenance accidents: A two-stage LEC method and Bayesian network approach. </w:t>
      </w:r>
      <w:r w:rsidRPr="006B0071">
        <w:rPr>
          <w:iCs/>
          <w:shd w:val="clear" w:color="auto" w:fill="FFFFFF"/>
        </w:rPr>
        <w:t>International Journal of Transportation Science and Technology</w:t>
      </w:r>
      <w:r w:rsidRPr="006B0071">
        <w:rPr>
          <w:shd w:val="clear" w:color="auto" w:fill="FFFFFF"/>
        </w:rPr>
        <w:t>.</w:t>
      </w:r>
    </w:p>
    <w:p w14:paraId="74FA1063" w14:textId="77777777" w:rsidR="00FC6D72" w:rsidRPr="006B0071" w:rsidRDefault="00FC6D72" w:rsidP="00FC6D72">
      <w:pPr>
        <w:pStyle w:val="referenceitem"/>
        <w:rPr>
          <w:shd w:val="clear" w:color="auto" w:fill="FFFFFF"/>
        </w:rPr>
      </w:pPr>
      <w:proofErr w:type="spellStart"/>
      <w:r w:rsidRPr="006B0071">
        <w:rPr>
          <w:shd w:val="clear" w:color="auto" w:fill="FFFFFF"/>
        </w:rPr>
        <w:t>Filizadeh</w:t>
      </w:r>
      <w:proofErr w:type="spellEnd"/>
      <w:r w:rsidRPr="006B0071">
        <w:rPr>
          <w:shd w:val="clear" w:color="auto" w:fill="FFFFFF"/>
        </w:rPr>
        <w:t xml:space="preserve">, R., Hernandez, E. M., &amp; </w:t>
      </w:r>
      <w:proofErr w:type="spellStart"/>
      <w:r w:rsidRPr="006B0071">
        <w:rPr>
          <w:shd w:val="clear" w:color="auto" w:fill="FFFFFF"/>
        </w:rPr>
        <w:t>Rosowsky</w:t>
      </w:r>
      <w:proofErr w:type="spellEnd"/>
      <w:r w:rsidRPr="006B0071">
        <w:rPr>
          <w:shd w:val="clear" w:color="auto" w:fill="FFFFFF"/>
        </w:rPr>
        <w:t>, D. V. (2024). Risk-based framework for post-earthquake monitoring and evaluation of reinforced concrete bridges subject to multiple hazards. </w:t>
      </w:r>
      <w:r w:rsidRPr="006B0071">
        <w:rPr>
          <w:iCs/>
          <w:shd w:val="clear" w:color="auto" w:fill="FFFFFF"/>
        </w:rPr>
        <w:t>Reliability Engineering &amp; System Safety</w:t>
      </w:r>
      <w:r w:rsidRPr="006B0071">
        <w:rPr>
          <w:shd w:val="clear" w:color="auto" w:fill="FFFFFF"/>
        </w:rPr>
        <w:t>, </w:t>
      </w:r>
      <w:r w:rsidRPr="006B0071">
        <w:rPr>
          <w:iCs/>
          <w:shd w:val="clear" w:color="auto" w:fill="FFFFFF"/>
        </w:rPr>
        <w:t>245</w:t>
      </w:r>
      <w:r w:rsidRPr="006B0071">
        <w:rPr>
          <w:shd w:val="clear" w:color="auto" w:fill="FFFFFF"/>
        </w:rPr>
        <w:t>, 109992.</w:t>
      </w:r>
    </w:p>
    <w:p w14:paraId="3853A98A" w14:textId="77777777" w:rsidR="00FC6D72" w:rsidRPr="006B0071" w:rsidRDefault="00FC6D72" w:rsidP="00FC6D72">
      <w:pPr>
        <w:pStyle w:val="referenceitem"/>
        <w:rPr>
          <w:shd w:val="clear" w:color="auto" w:fill="FFFFFF"/>
        </w:rPr>
      </w:pPr>
      <w:r w:rsidRPr="006B0071">
        <w:rPr>
          <w:shd w:val="clear" w:color="auto" w:fill="FFFFFF"/>
        </w:rPr>
        <w:lastRenderedPageBreak/>
        <w:t xml:space="preserve">Wang, X., </w:t>
      </w:r>
      <w:proofErr w:type="spellStart"/>
      <w:r w:rsidRPr="006B0071">
        <w:rPr>
          <w:shd w:val="clear" w:color="auto" w:fill="FFFFFF"/>
        </w:rPr>
        <w:t>Demartino</w:t>
      </w:r>
      <w:proofErr w:type="spellEnd"/>
      <w:r w:rsidRPr="006B0071">
        <w:rPr>
          <w:shd w:val="clear" w:color="auto" w:fill="FFFFFF"/>
        </w:rPr>
        <w:t xml:space="preserve">, C., </w:t>
      </w:r>
      <w:proofErr w:type="spellStart"/>
      <w:r w:rsidRPr="006B0071">
        <w:rPr>
          <w:shd w:val="clear" w:color="auto" w:fill="FFFFFF"/>
        </w:rPr>
        <w:t>Narazaki</w:t>
      </w:r>
      <w:proofErr w:type="spellEnd"/>
      <w:r w:rsidRPr="006B0071">
        <w:rPr>
          <w:shd w:val="clear" w:color="auto" w:fill="FFFFFF"/>
        </w:rPr>
        <w:t>, Y., Monti, G., &amp; Spencer Jr, B. F. (2023). Rapid seismic risk assessment of bridges using UAV aerial photogrammetry. </w:t>
      </w:r>
      <w:r w:rsidRPr="006B0071">
        <w:rPr>
          <w:iCs/>
          <w:shd w:val="clear" w:color="auto" w:fill="FFFFFF"/>
        </w:rPr>
        <w:t>Engineering Structures</w:t>
      </w:r>
      <w:r w:rsidRPr="006B0071">
        <w:rPr>
          <w:shd w:val="clear" w:color="auto" w:fill="FFFFFF"/>
        </w:rPr>
        <w:t>, </w:t>
      </w:r>
      <w:r w:rsidRPr="006B0071">
        <w:rPr>
          <w:iCs/>
          <w:shd w:val="clear" w:color="auto" w:fill="FFFFFF"/>
        </w:rPr>
        <w:t>279</w:t>
      </w:r>
      <w:r w:rsidRPr="006B0071">
        <w:rPr>
          <w:shd w:val="clear" w:color="auto" w:fill="FFFFFF"/>
        </w:rPr>
        <w:t>, 115589.</w:t>
      </w:r>
    </w:p>
    <w:p w14:paraId="7C9BEB78" w14:textId="77777777" w:rsidR="00FC6D72" w:rsidRPr="006B0071" w:rsidRDefault="00FC6D72" w:rsidP="00FC6D72">
      <w:pPr>
        <w:pStyle w:val="referenceitem"/>
        <w:rPr>
          <w:shd w:val="clear" w:color="auto" w:fill="FFFFFF"/>
        </w:rPr>
      </w:pPr>
      <w:r w:rsidRPr="006B0071">
        <w:rPr>
          <w:shd w:val="clear" w:color="auto" w:fill="FFFFFF"/>
        </w:rPr>
        <w:t xml:space="preserve">De </w:t>
      </w:r>
      <w:proofErr w:type="spellStart"/>
      <w:r w:rsidRPr="006B0071">
        <w:rPr>
          <w:shd w:val="clear" w:color="auto" w:fill="FFFFFF"/>
        </w:rPr>
        <w:t>Lemos</w:t>
      </w:r>
      <w:proofErr w:type="spellEnd"/>
      <w:r w:rsidRPr="006B0071">
        <w:rPr>
          <w:shd w:val="clear" w:color="auto" w:fill="FFFFFF"/>
        </w:rPr>
        <w:t xml:space="preserve">, T., Eaton, D., Betts, M., &amp; de Almeida, L. T. (2004). Risk management in the </w:t>
      </w:r>
      <w:proofErr w:type="spellStart"/>
      <w:r w:rsidRPr="006B0071">
        <w:rPr>
          <w:shd w:val="clear" w:color="auto" w:fill="FFFFFF"/>
        </w:rPr>
        <w:t>Lusoponte</w:t>
      </w:r>
      <w:proofErr w:type="spellEnd"/>
      <w:r w:rsidRPr="006B0071">
        <w:rPr>
          <w:shd w:val="clear" w:color="auto" w:fill="FFFFFF"/>
        </w:rPr>
        <w:t xml:space="preserve"> concession—a case study of the two bridges in Lisbon, Portugal. </w:t>
      </w:r>
      <w:r w:rsidRPr="006B0071">
        <w:rPr>
          <w:iCs/>
          <w:shd w:val="clear" w:color="auto" w:fill="FFFFFF"/>
        </w:rPr>
        <w:t>International Journal of Project Management</w:t>
      </w:r>
      <w:r w:rsidRPr="006B0071">
        <w:rPr>
          <w:shd w:val="clear" w:color="auto" w:fill="FFFFFF"/>
        </w:rPr>
        <w:t>, </w:t>
      </w:r>
      <w:r w:rsidRPr="006B0071">
        <w:rPr>
          <w:iCs/>
          <w:shd w:val="clear" w:color="auto" w:fill="FFFFFF"/>
        </w:rPr>
        <w:t>22</w:t>
      </w:r>
      <w:r w:rsidRPr="006B0071">
        <w:rPr>
          <w:shd w:val="clear" w:color="auto" w:fill="FFFFFF"/>
        </w:rPr>
        <w:t>(1), 63-73.</w:t>
      </w:r>
    </w:p>
    <w:p w14:paraId="04A560B8" w14:textId="77777777" w:rsidR="00FC6D72" w:rsidRPr="006B0071" w:rsidRDefault="00FC6D72" w:rsidP="00FC6D72">
      <w:pPr>
        <w:pStyle w:val="referenceitem"/>
        <w:rPr>
          <w:shd w:val="clear" w:color="auto" w:fill="FFFFFF"/>
        </w:rPr>
      </w:pPr>
      <w:proofErr w:type="spellStart"/>
      <w:r w:rsidRPr="006B0071">
        <w:rPr>
          <w:shd w:val="clear" w:color="auto" w:fill="FFFFFF"/>
        </w:rPr>
        <w:t>Flenga</w:t>
      </w:r>
      <w:proofErr w:type="spellEnd"/>
      <w:r w:rsidRPr="006B0071">
        <w:rPr>
          <w:shd w:val="clear" w:color="auto" w:fill="FFFFFF"/>
        </w:rPr>
        <w:t xml:space="preserve">, M. G., &amp; </w:t>
      </w:r>
      <w:proofErr w:type="spellStart"/>
      <w:r w:rsidRPr="006B0071">
        <w:rPr>
          <w:shd w:val="clear" w:color="auto" w:fill="FFFFFF"/>
        </w:rPr>
        <w:t>Favvata</w:t>
      </w:r>
      <w:proofErr w:type="spellEnd"/>
      <w:r w:rsidRPr="006B0071">
        <w:rPr>
          <w:shd w:val="clear" w:color="auto" w:fill="FFFFFF"/>
        </w:rPr>
        <w:t>, M. J. (2023). A risk-targeted decision model for the verification of the seismic performance of RC structures against structural pounding. </w:t>
      </w:r>
      <w:r w:rsidRPr="006B0071">
        <w:rPr>
          <w:iCs/>
          <w:shd w:val="clear" w:color="auto" w:fill="FFFFFF"/>
        </w:rPr>
        <w:t>Soil Dynamics and Earthquake Engineering</w:t>
      </w:r>
      <w:r w:rsidRPr="006B0071">
        <w:rPr>
          <w:shd w:val="clear" w:color="auto" w:fill="FFFFFF"/>
        </w:rPr>
        <w:t>, </w:t>
      </w:r>
      <w:r w:rsidRPr="006B0071">
        <w:rPr>
          <w:iCs/>
          <w:shd w:val="clear" w:color="auto" w:fill="FFFFFF"/>
        </w:rPr>
        <w:t>175</w:t>
      </w:r>
      <w:r w:rsidRPr="006B0071">
        <w:rPr>
          <w:shd w:val="clear" w:color="auto" w:fill="FFFFFF"/>
        </w:rPr>
        <w:t>, 108229.</w:t>
      </w:r>
    </w:p>
    <w:p w14:paraId="577C2BB7" w14:textId="77777777" w:rsidR="00FC6D72" w:rsidRPr="006B0071" w:rsidRDefault="00FC6D72" w:rsidP="00FC6D72">
      <w:pPr>
        <w:pStyle w:val="referenceitem"/>
        <w:rPr>
          <w:shd w:val="clear" w:color="auto" w:fill="FFFFFF"/>
        </w:rPr>
      </w:pPr>
      <w:r w:rsidRPr="006B0071">
        <w:rPr>
          <w:shd w:val="clear" w:color="auto" w:fill="FFFFFF"/>
        </w:rPr>
        <w:t xml:space="preserve">Guzman-Acevedo, G. M., Vazquez-Becerra, G. E., Quintana-Rodriguez, J. A., </w:t>
      </w:r>
      <w:proofErr w:type="spellStart"/>
      <w:r w:rsidRPr="006B0071">
        <w:rPr>
          <w:shd w:val="clear" w:color="auto" w:fill="FFFFFF"/>
        </w:rPr>
        <w:t>Gaxiola</w:t>
      </w:r>
      <w:proofErr w:type="spellEnd"/>
      <w:r w:rsidRPr="006B0071">
        <w:rPr>
          <w:shd w:val="clear" w:color="auto" w:fill="FFFFFF"/>
        </w:rPr>
        <w:t xml:space="preserve">-Camacho, J. R., Anaya-Diaz, M., </w:t>
      </w:r>
      <w:proofErr w:type="spellStart"/>
      <w:r w:rsidRPr="006B0071">
        <w:rPr>
          <w:shd w:val="clear" w:color="auto" w:fill="FFFFFF"/>
        </w:rPr>
        <w:t>Mediano</w:t>
      </w:r>
      <w:proofErr w:type="spellEnd"/>
      <w:r w:rsidRPr="006B0071">
        <w:rPr>
          <w:shd w:val="clear" w:color="auto" w:fill="FFFFFF"/>
        </w:rPr>
        <w:t xml:space="preserve">-Martinez, J. C., &amp; </w:t>
      </w:r>
      <w:proofErr w:type="spellStart"/>
      <w:r w:rsidRPr="006B0071">
        <w:rPr>
          <w:shd w:val="clear" w:color="auto" w:fill="FFFFFF"/>
        </w:rPr>
        <w:t>Viramontes</w:t>
      </w:r>
      <w:proofErr w:type="spellEnd"/>
      <w:r w:rsidRPr="006B0071">
        <w:rPr>
          <w:shd w:val="clear" w:color="auto" w:fill="FFFFFF"/>
        </w:rPr>
        <w:t xml:space="preserve">, F. J. C. (2024, May). Structural health monitoring and risk assessment of bridges integrating </w:t>
      </w:r>
      <w:proofErr w:type="spellStart"/>
      <w:r w:rsidRPr="006B0071">
        <w:rPr>
          <w:shd w:val="clear" w:color="auto" w:fill="FFFFFF"/>
        </w:rPr>
        <w:t>InSAR</w:t>
      </w:r>
      <w:proofErr w:type="spellEnd"/>
      <w:r w:rsidRPr="006B0071">
        <w:rPr>
          <w:shd w:val="clear" w:color="auto" w:fill="FFFFFF"/>
        </w:rPr>
        <w:t xml:space="preserve"> and a calibrated FE model. In </w:t>
      </w:r>
      <w:r w:rsidRPr="006B0071">
        <w:rPr>
          <w:iCs/>
          <w:shd w:val="clear" w:color="auto" w:fill="FFFFFF"/>
        </w:rPr>
        <w:t>Structures</w:t>
      </w:r>
      <w:r w:rsidRPr="006B0071">
        <w:rPr>
          <w:shd w:val="clear" w:color="auto" w:fill="FFFFFF"/>
        </w:rPr>
        <w:t> (Vol. 63, p. 106353). Elsevier.</w:t>
      </w:r>
    </w:p>
    <w:p w14:paraId="51A5E026" w14:textId="77777777" w:rsidR="00FC6D72" w:rsidRPr="006B0071" w:rsidRDefault="00FC6D72" w:rsidP="00FC6D72">
      <w:pPr>
        <w:pStyle w:val="referenceitem"/>
        <w:rPr>
          <w:shd w:val="clear" w:color="auto" w:fill="FFFFFF"/>
        </w:rPr>
      </w:pPr>
      <w:proofErr w:type="spellStart"/>
      <w:r w:rsidRPr="006B0071">
        <w:rPr>
          <w:shd w:val="clear" w:color="auto" w:fill="FFFFFF"/>
        </w:rPr>
        <w:t>Quinci</w:t>
      </w:r>
      <w:proofErr w:type="spellEnd"/>
      <w:r w:rsidRPr="006B0071">
        <w:rPr>
          <w:shd w:val="clear" w:color="auto" w:fill="FFFFFF"/>
        </w:rPr>
        <w:t xml:space="preserve">, G., </w:t>
      </w:r>
      <w:proofErr w:type="spellStart"/>
      <w:r w:rsidRPr="006B0071">
        <w:rPr>
          <w:shd w:val="clear" w:color="auto" w:fill="FFFFFF"/>
        </w:rPr>
        <w:t>Paolacci</w:t>
      </w:r>
      <w:proofErr w:type="spellEnd"/>
      <w:r w:rsidRPr="006B0071">
        <w:rPr>
          <w:shd w:val="clear" w:color="auto" w:fill="FFFFFF"/>
        </w:rPr>
        <w:t xml:space="preserve">, F., &amp; </w:t>
      </w:r>
      <w:proofErr w:type="spellStart"/>
      <w:r w:rsidRPr="006B0071">
        <w:rPr>
          <w:shd w:val="clear" w:color="auto" w:fill="FFFFFF"/>
        </w:rPr>
        <w:t>Fragiadakis</w:t>
      </w:r>
      <w:proofErr w:type="spellEnd"/>
      <w:r w:rsidRPr="006B0071">
        <w:rPr>
          <w:shd w:val="clear" w:color="auto" w:fill="FFFFFF"/>
        </w:rPr>
        <w:t>, M. (2023). An innovative framework for risk assessment of non-structural components for industrial plants. </w:t>
      </w:r>
      <w:r w:rsidRPr="006B0071">
        <w:rPr>
          <w:iCs/>
          <w:shd w:val="clear" w:color="auto" w:fill="FFFFFF"/>
        </w:rPr>
        <w:t>Procedia Structural Integrity</w:t>
      </w:r>
      <w:r w:rsidRPr="006B0071">
        <w:rPr>
          <w:shd w:val="clear" w:color="auto" w:fill="FFFFFF"/>
        </w:rPr>
        <w:t>, </w:t>
      </w:r>
      <w:r w:rsidRPr="006B0071">
        <w:rPr>
          <w:iCs/>
          <w:shd w:val="clear" w:color="auto" w:fill="FFFFFF"/>
        </w:rPr>
        <w:t>44</w:t>
      </w:r>
      <w:r w:rsidRPr="006B0071">
        <w:rPr>
          <w:shd w:val="clear" w:color="auto" w:fill="FFFFFF"/>
        </w:rPr>
        <w:t>, 251-258.</w:t>
      </w:r>
    </w:p>
    <w:p w14:paraId="6394F562" w14:textId="77777777" w:rsidR="00FC6D72" w:rsidRPr="006B0071" w:rsidRDefault="00FC6D72" w:rsidP="00FC6D72">
      <w:pPr>
        <w:pStyle w:val="referenceitem"/>
        <w:rPr>
          <w:shd w:val="clear" w:color="auto" w:fill="FFFFFF"/>
        </w:rPr>
      </w:pPr>
      <w:r w:rsidRPr="006B0071">
        <w:rPr>
          <w:shd w:val="clear" w:color="auto" w:fill="FFFFFF"/>
        </w:rPr>
        <w:t xml:space="preserve">Renzi, E., </w:t>
      </w:r>
      <w:proofErr w:type="spellStart"/>
      <w:r w:rsidRPr="006B0071">
        <w:rPr>
          <w:shd w:val="clear" w:color="auto" w:fill="FFFFFF"/>
        </w:rPr>
        <w:t>Zampino</w:t>
      </w:r>
      <w:proofErr w:type="spellEnd"/>
      <w:r w:rsidRPr="006B0071">
        <w:rPr>
          <w:shd w:val="clear" w:color="auto" w:fill="FFFFFF"/>
        </w:rPr>
        <w:t xml:space="preserve">, S., Palermo, G., </w:t>
      </w:r>
      <w:proofErr w:type="spellStart"/>
      <w:r w:rsidRPr="006B0071">
        <w:rPr>
          <w:shd w:val="clear" w:color="auto" w:fill="FFFFFF"/>
        </w:rPr>
        <w:t>Tamasi</w:t>
      </w:r>
      <w:proofErr w:type="spellEnd"/>
      <w:r w:rsidRPr="006B0071">
        <w:rPr>
          <w:shd w:val="clear" w:color="auto" w:fill="FFFFFF"/>
        </w:rPr>
        <w:t xml:space="preserve">, G., Di Nucci, F., </w:t>
      </w:r>
      <w:proofErr w:type="spellStart"/>
      <w:r w:rsidRPr="006B0071">
        <w:rPr>
          <w:shd w:val="clear" w:color="auto" w:fill="FFFFFF"/>
        </w:rPr>
        <w:t>Porretto</w:t>
      </w:r>
      <w:proofErr w:type="spellEnd"/>
      <w:r w:rsidRPr="006B0071">
        <w:rPr>
          <w:shd w:val="clear" w:color="auto" w:fill="FFFFFF"/>
        </w:rPr>
        <w:t xml:space="preserve">, V., &amp; </w:t>
      </w:r>
      <w:proofErr w:type="spellStart"/>
      <w:r w:rsidRPr="006B0071">
        <w:rPr>
          <w:shd w:val="clear" w:color="auto" w:fill="FFFFFF"/>
        </w:rPr>
        <w:t>Germanese</w:t>
      </w:r>
      <w:proofErr w:type="spellEnd"/>
      <w:r w:rsidRPr="006B0071">
        <w:rPr>
          <w:shd w:val="clear" w:color="auto" w:fill="FFFFFF"/>
        </w:rPr>
        <w:t>, L. (2023). An integrated risk management system for road infrastructures: Focus on seismic risk and network performance. </w:t>
      </w:r>
      <w:r w:rsidRPr="006B0071">
        <w:rPr>
          <w:iCs/>
          <w:shd w:val="clear" w:color="auto" w:fill="FFFFFF"/>
        </w:rPr>
        <w:t>Procedia Structural Integrity</w:t>
      </w:r>
      <w:r w:rsidRPr="006B0071">
        <w:rPr>
          <w:shd w:val="clear" w:color="auto" w:fill="FFFFFF"/>
        </w:rPr>
        <w:t>, </w:t>
      </w:r>
      <w:r w:rsidRPr="006B0071">
        <w:rPr>
          <w:iCs/>
          <w:shd w:val="clear" w:color="auto" w:fill="FFFFFF"/>
        </w:rPr>
        <w:t>44</w:t>
      </w:r>
      <w:r w:rsidRPr="006B0071">
        <w:rPr>
          <w:shd w:val="clear" w:color="auto" w:fill="FFFFFF"/>
        </w:rPr>
        <w:t>, 355-362.</w:t>
      </w:r>
    </w:p>
    <w:p w14:paraId="649699CD" w14:textId="1197FDF2" w:rsidR="00FC6D72" w:rsidRPr="006B0071" w:rsidRDefault="00FC6D72" w:rsidP="00FC6D72">
      <w:pPr>
        <w:pStyle w:val="referenceitem"/>
      </w:pPr>
      <w:r w:rsidRPr="006B0071">
        <w:t xml:space="preserve">Institute of Risk Management. </w:t>
      </w:r>
      <w:r w:rsidRPr="006B0071">
        <w:rPr>
          <w:rStyle w:val="Emphasis"/>
          <w:i w:val="0"/>
        </w:rPr>
        <w:t>Enterprise risk management: Handbook for professionals, Level-1 examination</w:t>
      </w:r>
      <w:r w:rsidRPr="006B0071">
        <w:rPr>
          <w:i/>
        </w:rPr>
        <w:t xml:space="preserve">. </w:t>
      </w:r>
      <w:r w:rsidRPr="006B0071">
        <w:t>IRM India.</w:t>
      </w:r>
    </w:p>
    <w:p w14:paraId="00972837" w14:textId="77777777" w:rsidR="00FC6D72" w:rsidRPr="006B0071" w:rsidRDefault="00FC6D72" w:rsidP="00FC6D72">
      <w:pPr>
        <w:pStyle w:val="referenceitem"/>
      </w:pPr>
      <w:r w:rsidRPr="006B0071">
        <w:t xml:space="preserve">Bureau of Indian Standards. (2015). </w:t>
      </w:r>
      <w:r w:rsidRPr="006B0071">
        <w:rPr>
          <w:rStyle w:val="Emphasis"/>
          <w:i w:val="0"/>
        </w:rPr>
        <w:t>IS 15883 (Part 8): 2015 Construction Project Management—Guidelines Part 8 Risk Management</w:t>
      </w:r>
      <w:r w:rsidRPr="006B0071">
        <w:rPr>
          <w:i/>
        </w:rPr>
        <w:t xml:space="preserve">. </w:t>
      </w:r>
      <w:r w:rsidRPr="006B0071">
        <w:t>New Delhi: Bureau of Indian Standards.</w:t>
      </w:r>
    </w:p>
    <w:p w14:paraId="41EE782F" w14:textId="77777777" w:rsidR="00FC6D72" w:rsidRPr="006B0071" w:rsidRDefault="00FC6D72" w:rsidP="00FC6D72">
      <w:pPr>
        <w:pStyle w:val="referenceitem"/>
        <w:rPr>
          <w:shd w:val="clear" w:color="auto" w:fill="FFFFFF"/>
        </w:rPr>
      </w:pPr>
      <w:r w:rsidRPr="006B0071">
        <w:rPr>
          <w:shd w:val="clear" w:color="auto" w:fill="FFFFFF"/>
        </w:rPr>
        <w:t>Dey, P. K. (2010). Managing project risk using combined analytic hierarchy process and risk map. </w:t>
      </w:r>
      <w:r w:rsidRPr="006B0071">
        <w:rPr>
          <w:iCs/>
          <w:shd w:val="clear" w:color="auto" w:fill="FFFFFF"/>
        </w:rPr>
        <w:t>Applied Soft Computing</w:t>
      </w:r>
      <w:r w:rsidRPr="006B0071">
        <w:rPr>
          <w:shd w:val="clear" w:color="auto" w:fill="FFFFFF"/>
        </w:rPr>
        <w:t>, </w:t>
      </w:r>
      <w:r w:rsidRPr="006B0071">
        <w:rPr>
          <w:iCs/>
          <w:shd w:val="clear" w:color="auto" w:fill="FFFFFF"/>
        </w:rPr>
        <w:t>10</w:t>
      </w:r>
      <w:r w:rsidRPr="006B0071">
        <w:rPr>
          <w:shd w:val="clear" w:color="auto" w:fill="FFFFFF"/>
        </w:rPr>
        <w:t>(4), 990-1000.</w:t>
      </w:r>
    </w:p>
    <w:p w14:paraId="7485715F" w14:textId="77777777" w:rsidR="00FC6D72" w:rsidRPr="006B0071" w:rsidRDefault="00FC6D72" w:rsidP="00FC6D72">
      <w:pPr>
        <w:pStyle w:val="referenceitem"/>
        <w:rPr>
          <w:shd w:val="clear" w:color="auto" w:fill="FFFFFF"/>
        </w:rPr>
      </w:pPr>
      <w:proofErr w:type="spellStart"/>
      <w:r w:rsidRPr="006B0071">
        <w:rPr>
          <w:shd w:val="clear" w:color="auto" w:fill="FFFFFF"/>
        </w:rPr>
        <w:t>Saaty</w:t>
      </w:r>
      <w:proofErr w:type="spellEnd"/>
      <w:r w:rsidRPr="006B0071">
        <w:rPr>
          <w:shd w:val="clear" w:color="auto" w:fill="FFFFFF"/>
        </w:rPr>
        <w:t xml:space="preserve">, T. L. (1990). How to </w:t>
      </w:r>
      <w:proofErr w:type="gramStart"/>
      <w:r w:rsidRPr="006B0071">
        <w:rPr>
          <w:shd w:val="clear" w:color="auto" w:fill="FFFFFF"/>
        </w:rPr>
        <w:t>make a decision</w:t>
      </w:r>
      <w:proofErr w:type="gramEnd"/>
      <w:r w:rsidRPr="006B0071">
        <w:rPr>
          <w:shd w:val="clear" w:color="auto" w:fill="FFFFFF"/>
        </w:rPr>
        <w:t>: the analytic hierarchy process. </w:t>
      </w:r>
      <w:r w:rsidRPr="006B0071">
        <w:rPr>
          <w:iCs/>
          <w:shd w:val="clear" w:color="auto" w:fill="FFFFFF"/>
        </w:rPr>
        <w:t>European journal of operational research</w:t>
      </w:r>
      <w:r w:rsidRPr="006B0071">
        <w:rPr>
          <w:shd w:val="clear" w:color="auto" w:fill="FFFFFF"/>
        </w:rPr>
        <w:t>, </w:t>
      </w:r>
      <w:r w:rsidRPr="006B0071">
        <w:rPr>
          <w:iCs/>
          <w:shd w:val="clear" w:color="auto" w:fill="FFFFFF"/>
        </w:rPr>
        <w:t>48</w:t>
      </w:r>
      <w:r w:rsidRPr="006B0071">
        <w:rPr>
          <w:shd w:val="clear" w:color="auto" w:fill="FFFFFF"/>
        </w:rPr>
        <w:t>(1), 9-26.</w:t>
      </w:r>
    </w:p>
    <w:p w14:paraId="3E5B4E0F" w14:textId="77777777" w:rsidR="00FC6D72" w:rsidRPr="006B0071" w:rsidRDefault="00FC6D72" w:rsidP="00FC6D72">
      <w:pPr>
        <w:pStyle w:val="referenceitem"/>
        <w:rPr>
          <w:shd w:val="clear" w:color="auto" w:fill="FFFFFF"/>
        </w:rPr>
      </w:pPr>
      <w:r w:rsidRPr="006B0071">
        <w:rPr>
          <w:shd w:val="clear" w:color="auto" w:fill="FFFFFF"/>
        </w:rPr>
        <w:t>Dey, P. K. (2002). Project risk management: a combined analytic hierarchy process and decision tree approach. </w:t>
      </w:r>
      <w:r w:rsidRPr="006B0071">
        <w:rPr>
          <w:iCs/>
          <w:shd w:val="clear" w:color="auto" w:fill="FFFFFF"/>
        </w:rPr>
        <w:t>Cost Engineering</w:t>
      </w:r>
      <w:r w:rsidRPr="006B0071">
        <w:rPr>
          <w:shd w:val="clear" w:color="auto" w:fill="FFFFFF"/>
        </w:rPr>
        <w:t>, </w:t>
      </w:r>
      <w:r w:rsidRPr="006B0071">
        <w:rPr>
          <w:iCs/>
          <w:shd w:val="clear" w:color="auto" w:fill="FFFFFF"/>
        </w:rPr>
        <w:t>44</w:t>
      </w:r>
      <w:r w:rsidRPr="006B0071">
        <w:rPr>
          <w:shd w:val="clear" w:color="auto" w:fill="FFFFFF"/>
        </w:rPr>
        <w:t>(3), 13-27.</w:t>
      </w:r>
    </w:p>
    <w:p w14:paraId="4FCE7BBA" w14:textId="77777777" w:rsidR="00FC6D72" w:rsidRPr="006B0071" w:rsidRDefault="00FC6D72" w:rsidP="00FC6D72">
      <w:pPr>
        <w:pStyle w:val="referenceitem"/>
        <w:rPr>
          <w:shd w:val="clear" w:color="auto" w:fill="FFFFFF"/>
        </w:rPr>
      </w:pPr>
      <w:proofErr w:type="spellStart"/>
      <w:r w:rsidRPr="006B0071">
        <w:rPr>
          <w:shd w:val="clear" w:color="auto" w:fill="FFFFFF"/>
        </w:rPr>
        <w:t>Aminbakhsh</w:t>
      </w:r>
      <w:proofErr w:type="spellEnd"/>
      <w:r w:rsidRPr="006B0071">
        <w:rPr>
          <w:shd w:val="clear" w:color="auto" w:fill="FFFFFF"/>
        </w:rPr>
        <w:t xml:space="preserve">, S., </w:t>
      </w:r>
      <w:proofErr w:type="spellStart"/>
      <w:r w:rsidRPr="006B0071">
        <w:rPr>
          <w:shd w:val="clear" w:color="auto" w:fill="FFFFFF"/>
        </w:rPr>
        <w:t>Gunduz</w:t>
      </w:r>
      <w:proofErr w:type="spellEnd"/>
      <w:r w:rsidRPr="006B0071">
        <w:rPr>
          <w:shd w:val="clear" w:color="auto" w:fill="FFFFFF"/>
        </w:rPr>
        <w:t xml:space="preserve">, M., &amp; </w:t>
      </w:r>
      <w:proofErr w:type="spellStart"/>
      <w:r w:rsidRPr="006B0071">
        <w:rPr>
          <w:shd w:val="clear" w:color="auto" w:fill="FFFFFF"/>
        </w:rPr>
        <w:t>Sonmez</w:t>
      </w:r>
      <w:proofErr w:type="spellEnd"/>
      <w:r w:rsidRPr="006B0071">
        <w:rPr>
          <w:shd w:val="clear" w:color="auto" w:fill="FFFFFF"/>
        </w:rPr>
        <w:t>, R. (2013). Safety risk assessment using analytic hierarchy process (AHP) during planning and budgeting of construction projects. </w:t>
      </w:r>
      <w:r w:rsidRPr="006B0071">
        <w:rPr>
          <w:iCs/>
          <w:shd w:val="clear" w:color="auto" w:fill="FFFFFF"/>
        </w:rPr>
        <w:t>Journal of safety research</w:t>
      </w:r>
      <w:r w:rsidRPr="006B0071">
        <w:rPr>
          <w:shd w:val="clear" w:color="auto" w:fill="FFFFFF"/>
        </w:rPr>
        <w:t>, </w:t>
      </w:r>
      <w:r w:rsidRPr="006B0071">
        <w:rPr>
          <w:iCs/>
          <w:shd w:val="clear" w:color="auto" w:fill="FFFFFF"/>
        </w:rPr>
        <w:t>46</w:t>
      </w:r>
      <w:r w:rsidRPr="006B0071">
        <w:rPr>
          <w:shd w:val="clear" w:color="auto" w:fill="FFFFFF"/>
        </w:rPr>
        <w:t>, 99-105.</w:t>
      </w:r>
    </w:p>
    <w:p w14:paraId="3F6D6616" w14:textId="77777777" w:rsidR="00FC6D72" w:rsidRPr="006B0071" w:rsidRDefault="00FC6D72" w:rsidP="00FC6D72">
      <w:pPr>
        <w:pStyle w:val="referenceitem"/>
        <w:rPr>
          <w:shd w:val="clear" w:color="auto" w:fill="FFFFFF"/>
        </w:rPr>
      </w:pPr>
      <w:r w:rsidRPr="006B0071">
        <w:rPr>
          <w:shd w:val="clear" w:color="auto" w:fill="FFFFFF"/>
        </w:rPr>
        <w:t xml:space="preserve">Neridu, S., Katam, R., </w:t>
      </w:r>
      <w:proofErr w:type="spellStart"/>
      <w:r w:rsidRPr="006B0071">
        <w:rPr>
          <w:shd w:val="clear" w:color="auto" w:fill="FFFFFF"/>
        </w:rPr>
        <w:t>Polepally</w:t>
      </w:r>
      <w:proofErr w:type="spellEnd"/>
      <w:r w:rsidRPr="006B0071">
        <w:rPr>
          <w:shd w:val="clear" w:color="auto" w:fill="FFFFFF"/>
        </w:rPr>
        <w:t xml:space="preserve">, G., </w:t>
      </w:r>
      <w:proofErr w:type="spellStart"/>
      <w:r w:rsidRPr="006B0071">
        <w:rPr>
          <w:shd w:val="clear" w:color="auto" w:fill="FFFFFF"/>
        </w:rPr>
        <w:t>Sreerama</w:t>
      </w:r>
      <w:proofErr w:type="spellEnd"/>
      <w:r w:rsidRPr="006B0071">
        <w:rPr>
          <w:shd w:val="clear" w:color="auto" w:fill="FFFFFF"/>
        </w:rPr>
        <w:t>, A. K., Pasupuleti, V. D. K., &amp; Kalapatapu, P. (2024). Distress Diagnosis and Retrofitting of Twin Culvert Bridge. </w:t>
      </w:r>
      <w:r w:rsidRPr="006B0071">
        <w:rPr>
          <w:iCs/>
          <w:shd w:val="clear" w:color="auto" w:fill="FFFFFF"/>
        </w:rPr>
        <w:t>Procedia Structural Integrity</w:t>
      </w:r>
      <w:r w:rsidRPr="006B0071">
        <w:rPr>
          <w:shd w:val="clear" w:color="auto" w:fill="FFFFFF"/>
        </w:rPr>
        <w:t>, </w:t>
      </w:r>
      <w:r w:rsidRPr="006B0071">
        <w:rPr>
          <w:iCs/>
          <w:shd w:val="clear" w:color="auto" w:fill="FFFFFF"/>
        </w:rPr>
        <w:t>52</w:t>
      </w:r>
      <w:r w:rsidRPr="006B0071">
        <w:rPr>
          <w:shd w:val="clear" w:color="auto" w:fill="FFFFFF"/>
        </w:rPr>
        <w:t>, 267-279.</w:t>
      </w:r>
    </w:p>
    <w:p w14:paraId="62F239D3" w14:textId="6D466AA8" w:rsidR="00694399" w:rsidRPr="006B0071" w:rsidRDefault="00FC6D72" w:rsidP="009679C0">
      <w:pPr>
        <w:pStyle w:val="referenceitem"/>
      </w:pPr>
      <w:r w:rsidRPr="006B0071">
        <w:t xml:space="preserve">Rus, L. (2024). </w:t>
      </w:r>
      <w:r w:rsidRPr="006B0071">
        <w:rPr>
          <w:rStyle w:val="Emphasis"/>
          <w:i w:val="0"/>
        </w:rPr>
        <w:t>Bridge failure analysis: Shallow and deep causes</w:t>
      </w:r>
      <w:r w:rsidRPr="006B0071">
        <w:t xml:space="preserve">. IABSE BST Lecture, Spain. </w:t>
      </w:r>
      <w:bookmarkStart w:id="10" w:name="_GoBack"/>
      <w:bookmarkEnd w:id="10"/>
    </w:p>
    <w:sectPr w:rsidR="00694399" w:rsidRPr="006B0071" w:rsidSect="009F7FCE">
      <w:headerReference w:type="even" r:id="rId18"/>
      <w:headerReference w:type="default" r:id="rId19"/>
      <w:pgSz w:w="11906" w:h="16838" w:code="9"/>
      <w:pgMar w:top="2948" w:right="2494" w:bottom="2948" w:left="2494" w:header="2381" w:footer="2324" w:gutter="0"/>
      <w:cols w:space="227"/>
      <w:titlePg/>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5117B3" w14:textId="77777777" w:rsidR="007A5DAD" w:rsidRDefault="007A5DAD">
      <w:r>
        <w:separator/>
      </w:r>
    </w:p>
  </w:endnote>
  <w:endnote w:type="continuationSeparator" w:id="0">
    <w:p w14:paraId="4F81D4FE" w14:textId="77777777" w:rsidR="007A5DAD" w:rsidRDefault="007A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haris SIL">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D98DE" w14:textId="77777777" w:rsidR="007A5DAD" w:rsidRDefault="007A5DAD" w:rsidP="009F7FCE">
      <w:pPr>
        <w:ind w:firstLine="0"/>
      </w:pPr>
      <w:r>
        <w:separator/>
      </w:r>
    </w:p>
  </w:footnote>
  <w:footnote w:type="continuationSeparator" w:id="0">
    <w:p w14:paraId="17F2427F" w14:textId="77777777" w:rsidR="007A5DAD" w:rsidRDefault="007A5DAD" w:rsidP="009F7FCE">
      <w:pPr>
        <w:ind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762CA" w14:textId="77777777" w:rsidR="007D523A" w:rsidRDefault="007D523A" w:rsidP="00F321B4">
    <w:pPr>
      <w:pStyle w:val="Header"/>
    </w:pPr>
    <w:r>
      <w:fldChar w:fldCharType="begin"/>
    </w:r>
    <w:r>
      <w:instrText>PAGE   \* MERGEFORMAT</w:instrText>
    </w:r>
    <w:r>
      <w:fldChar w:fldCharType="separate"/>
    </w:r>
    <w:r>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31924" w14:textId="77777777" w:rsidR="007D523A" w:rsidRDefault="007D523A" w:rsidP="002D48C5">
    <w:pPr>
      <w:pStyle w:val="Header"/>
      <w:jc w:val="right"/>
    </w:pPr>
    <w:r>
      <w:fldChar w:fldCharType="begin"/>
    </w:r>
    <w:r>
      <w:instrText>PAGE   \* MERGEFORMAT</w:instrText>
    </w:r>
    <w:r>
      <w:fldChar w:fldCharType="separate"/>
    </w:r>
    <w:r>
      <w:rPr>
        <w:noProof/>
      </w:rPr>
      <w:t>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61842"/>
    <w:multiLevelType w:val="hybridMultilevel"/>
    <w:tmpl w:val="9A9244B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15:restartNumberingAfterBreak="0">
    <w:nsid w:val="1F397F84"/>
    <w:multiLevelType w:val="multilevel"/>
    <w:tmpl w:val="77162394"/>
    <w:styleLink w:val="itemization1"/>
    <w:lvl w:ilvl="0">
      <w:start w:val="1"/>
      <w:numFmt w:val="bullet"/>
      <w:pStyle w:val="bulletitem"/>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Times New Roman" w:hAnsi="Times New Roman" w:cs="Times New Roman"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o"/>
      <w:lvlJc w:val="left"/>
      <w:pPr>
        <w:tabs>
          <w:tab w:val="num" w:pos="1134"/>
        </w:tabs>
        <w:ind w:left="1134" w:hanging="227"/>
      </w:pPr>
      <w:rPr>
        <w:rFonts w:ascii="Courier New" w:hAnsi="Courier New"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o"/>
      <w:lvlJc w:val="left"/>
      <w:pPr>
        <w:tabs>
          <w:tab w:val="num" w:pos="1814"/>
        </w:tabs>
        <w:ind w:left="1814" w:hanging="226"/>
      </w:pPr>
      <w:rPr>
        <w:rFonts w:ascii="Courier New" w:hAnsi="Courier New" w:hint="default"/>
      </w:rPr>
    </w:lvl>
    <w:lvl w:ilvl="8">
      <w:start w:val="1"/>
      <w:numFmt w:val="bullet"/>
      <w:lvlText w:val=""/>
      <w:lvlJc w:val="left"/>
      <w:pPr>
        <w:tabs>
          <w:tab w:val="num" w:pos="2041"/>
        </w:tabs>
        <w:ind w:left="2041" w:hanging="227"/>
      </w:pPr>
      <w:rPr>
        <w:rFonts w:ascii="Wingdings" w:hAnsi="Wingdings" w:hint="default"/>
      </w:rPr>
    </w:lvl>
  </w:abstractNum>
  <w:abstractNum w:abstractNumId="2" w15:restartNumberingAfterBreak="0">
    <w:nsid w:val="6F404C9F"/>
    <w:multiLevelType w:val="multilevel"/>
    <w:tmpl w:val="BEDA5F46"/>
    <w:styleLink w:val="itemization2"/>
    <w:lvl w:ilvl="0">
      <w:start w:val="1"/>
      <w:numFmt w:val="bullet"/>
      <w:pStyle w:val="dashitem"/>
      <w:lvlText w:val="─"/>
      <w:lvlJc w:val="left"/>
      <w:pPr>
        <w:tabs>
          <w:tab w:val="num" w:pos="227"/>
        </w:tabs>
        <w:ind w:left="227" w:hanging="227"/>
      </w:pPr>
      <w:rPr>
        <w:rFonts w:ascii="Times New Roman" w:hAnsi="Times New Roman" w:cs="Times New Roman"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
      <w:lvlJc w:val="left"/>
      <w:pPr>
        <w:tabs>
          <w:tab w:val="num" w:pos="680"/>
        </w:tabs>
        <w:ind w:left="680" w:hanging="226"/>
      </w:pPr>
      <w:rPr>
        <w:rFonts w:ascii="Times New Roman" w:hAnsi="Times New Roman" w:cs="Times New Roman" w:hint="default"/>
      </w:rPr>
    </w:lvl>
    <w:lvl w:ilvl="3">
      <w:start w:val="1"/>
      <w:numFmt w:val="bullet"/>
      <w:lvlText w:val="■"/>
      <w:lvlJc w:val="left"/>
      <w:pPr>
        <w:tabs>
          <w:tab w:val="num" w:pos="907"/>
        </w:tabs>
        <w:ind w:left="907" w:hanging="227"/>
      </w:pPr>
      <w:rPr>
        <w:rFonts w:ascii="Times New Roman" w:hAnsi="Times New Roman" w:cs="Times New Roman" w:hint="default"/>
      </w:rPr>
    </w:lvl>
    <w:lvl w:ilvl="4">
      <w:start w:val="1"/>
      <w:numFmt w:val="bullet"/>
      <w:lvlText w:val="○"/>
      <w:lvlJc w:val="left"/>
      <w:pPr>
        <w:tabs>
          <w:tab w:val="num" w:pos="1134"/>
        </w:tabs>
        <w:ind w:left="1134" w:hanging="227"/>
      </w:pPr>
      <w:rPr>
        <w:rFonts w:ascii="Times New Roman" w:hAnsi="Times New Roman" w:cs="Times New Roman" w:hint="default"/>
      </w:rPr>
    </w:lvl>
    <w:lvl w:ilvl="5">
      <w:start w:val="1"/>
      <w:numFmt w:val="bullet"/>
      <w:lvlText w:val="■"/>
      <w:lvlJc w:val="left"/>
      <w:pPr>
        <w:tabs>
          <w:tab w:val="num" w:pos="1361"/>
        </w:tabs>
        <w:ind w:left="1361" w:hanging="227"/>
      </w:pPr>
      <w:rPr>
        <w:rFonts w:ascii="Times New Roman" w:hAnsi="Times New Roman" w:cs="Times New Roman"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
      <w:lvlJc w:val="left"/>
      <w:pPr>
        <w:tabs>
          <w:tab w:val="num" w:pos="1814"/>
        </w:tabs>
        <w:ind w:left="1814" w:hanging="226"/>
      </w:pPr>
      <w:rPr>
        <w:rFonts w:ascii="Times New Roman" w:hAnsi="Times New Roman" w:cs="Times New Roman" w:hint="default"/>
      </w:rPr>
    </w:lvl>
    <w:lvl w:ilvl="8">
      <w:start w:val="1"/>
      <w:numFmt w:val="bullet"/>
      <w:lvlText w:val="■"/>
      <w:lvlJc w:val="left"/>
      <w:pPr>
        <w:tabs>
          <w:tab w:val="num" w:pos="2041"/>
        </w:tabs>
        <w:ind w:left="2041" w:hanging="227"/>
      </w:pPr>
      <w:rPr>
        <w:rFonts w:ascii="Times New Roman" w:hAnsi="Times New Roman" w:cs="Times New Roman" w:hint="default"/>
      </w:rPr>
    </w:lvl>
  </w:abstractNum>
  <w:abstractNum w:abstractNumId="3" w15:restartNumberingAfterBreak="0">
    <w:nsid w:val="7738779A"/>
    <w:multiLevelType w:val="multilevel"/>
    <w:tmpl w:val="77EC1FB2"/>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78AD4891"/>
    <w:multiLevelType w:val="multilevel"/>
    <w:tmpl w:val="3C749FF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7B274BC8"/>
    <w:multiLevelType w:val="multilevel"/>
    <w:tmpl w:val="72E65396"/>
    <w:styleLink w:val="arabnumitem"/>
    <w:lvl w:ilvl="0">
      <w:start w:val="1"/>
      <w:numFmt w:val="decimal"/>
      <w:lvlRestart w:val="0"/>
      <w:pStyle w:val="numitem"/>
      <w:lvlText w:val="%1."/>
      <w:lvlJc w:val="right"/>
      <w:pPr>
        <w:tabs>
          <w:tab w:val="num" w:pos="0"/>
        </w:tabs>
        <w:ind w:left="227" w:hanging="57"/>
      </w:pPr>
      <w:rPr>
        <w:rFonts w:hint="default"/>
      </w:rPr>
    </w:lvl>
    <w:lvl w:ilvl="1">
      <w:start w:val="1"/>
      <w:numFmt w:val="lowerLetter"/>
      <w:lvlText w:val="%2."/>
      <w:lvlJc w:val="left"/>
      <w:pPr>
        <w:tabs>
          <w:tab w:val="num" w:pos="227"/>
        </w:tabs>
        <w:ind w:left="454" w:hanging="227"/>
      </w:pPr>
      <w:rPr>
        <w:rFonts w:hint="default"/>
      </w:rPr>
    </w:lvl>
    <w:lvl w:ilvl="2">
      <w:start w:val="1"/>
      <w:numFmt w:val="decimal"/>
      <w:lvlText w:val="(%3)"/>
      <w:lvlJc w:val="left"/>
      <w:pPr>
        <w:tabs>
          <w:tab w:val="num" w:pos="454"/>
        </w:tabs>
        <w:ind w:left="794" w:hanging="340"/>
      </w:pPr>
      <w:rPr>
        <w:rFonts w:hint="default"/>
      </w:rPr>
    </w:lvl>
    <w:lvl w:ilvl="3">
      <w:start w:val="1"/>
      <w:numFmt w:val="lowerRoman"/>
      <w:lvlText w:val="%4."/>
      <w:lvlJc w:val="left"/>
      <w:pPr>
        <w:tabs>
          <w:tab w:val="num" w:pos="794"/>
        </w:tabs>
        <w:ind w:left="1077" w:hanging="283"/>
      </w:pPr>
      <w:rPr>
        <w:rFonts w:hint="default"/>
      </w:rPr>
    </w:lvl>
    <w:lvl w:ilvl="4">
      <w:start w:val="1"/>
      <w:numFmt w:val="lowerLetter"/>
      <w:lvlText w:val="(%5)"/>
      <w:lvlJc w:val="left"/>
      <w:pPr>
        <w:tabs>
          <w:tab w:val="num" w:pos="1077"/>
        </w:tabs>
        <w:ind w:left="1360" w:hanging="283"/>
      </w:pPr>
      <w:rPr>
        <w:rFonts w:hint="default"/>
      </w:rPr>
    </w:lvl>
    <w:lvl w:ilvl="5">
      <w:start w:val="1"/>
      <w:numFmt w:val="upperLetter"/>
      <w:lvlText w:val="%6."/>
      <w:lvlJc w:val="left"/>
      <w:pPr>
        <w:tabs>
          <w:tab w:val="num" w:pos="1360"/>
        </w:tabs>
        <w:ind w:left="1700" w:hanging="340"/>
      </w:pPr>
      <w:rPr>
        <w:rFonts w:hint="default"/>
      </w:rPr>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D9521C8"/>
    <w:multiLevelType w:val="multilevel"/>
    <w:tmpl w:val="ED86AEC4"/>
    <w:styleLink w:val="referencelist"/>
    <w:lvl w:ilvl="0">
      <w:start w:val="1"/>
      <w:numFmt w:val="decimal"/>
      <w:pStyle w:val="referenceitem"/>
      <w:lvlText w:val="%1."/>
      <w:lvlJc w:val="right"/>
      <w:pPr>
        <w:tabs>
          <w:tab w:val="num" w:pos="340"/>
        </w:tabs>
        <w:ind w:left="340" w:hanging="113"/>
      </w:pPr>
      <w:rPr>
        <w:rFonts w:hint="default"/>
      </w:rPr>
    </w:lvl>
    <w:lvl w:ilvl="1">
      <w:start w:val="1"/>
      <w:numFmt w:val="lowerLetter"/>
      <w:lvlText w:val="%2."/>
      <w:lvlJc w:val="left"/>
      <w:pPr>
        <w:tabs>
          <w:tab w:val="num" w:pos="1896"/>
        </w:tabs>
        <w:ind w:left="1896" w:hanging="360"/>
      </w:pPr>
      <w:rPr>
        <w:rFonts w:hint="default"/>
      </w:rPr>
    </w:lvl>
    <w:lvl w:ilvl="2">
      <w:start w:val="1"/>
      <w:numFmt w:val="lowerRoman"/>
      <w:lvlText w:val="%3."/>
      <w:lvlJc w:val="right"/>
      <w:pPr>
        <w:tabs>
          <w:tab w:val="num" w:pos="2616"/>
        </w:tabs>
        <w:ind w:left="2616" w:hanging="180"/>
      </w:pPr>
      <w:rPr>
        <w:rFonts w:hint="default"/>
      </w:rPr>
    </w:lvl>
    <w:lvl w:ilvl="3">
      <w:start w:val="1"/>
      <w:numFmt w:val="decimal"/>
      <w:lvlText w:val="%4."/>
      <w:lvlJc w:val="left"/>
      <w:pPr>
        <w:tabs>
          <w:tab w:val="num" w:pos="3336"/>
        </w:tabs>
        <w:ind w:left="3336" w:hanging="360"/>
      </w:pPr>
      <w:rPr>
        <w:rFonts w:hint="default"/>
      </w:rPr>
    </w:lvl>
    <w:lvl w:ilvl="4">
      <w:start w:val="1"/>
      <w:numFmt w:val="lowerLetter"/>
      <w:lvlText w:val="%5."/>
      <w:lvlJc w:val="left"/>
      <w:pPr>
        <w:tabs>
          <w:tab w:val="num" w:pos="4056"/>
        </w:tabs>
        <w:ind w:left="4056" w:hanging="360"/>
      </w:pPr>
      <w:rPr>
        <w:rFonts w:hint="default"/>
      </w:rPr>
    </w:lvl>
    <w:lvl w:ilvl="5">
      <w:start w:val="1"/>
      <w:numFmt w:val="lowerRoman"/>
      <w:lvlText w:val="%6."/>
      <w:lvlJc w:val="right"/>
      <w:pPr>
        <w:tabs>
          <w:tab w:val="num" w:pos="4776"/>
        </w:tabs>
        <w:ind w:left="4776" w:hanging="180"/>
      </w:pPr>
      <w:rPr>
        <w:rFonts w:hint="default"/>
      </w:rPr>
    </w:lvl>
    <w:lvl w:ilvl="6">
      <w:start w:val="1"/>
      <w:numFmt w:val="decimal"/>
      <w:lvlText w:val="%7."/>
      <w:lvlJc w:val="left"/>
      <w:pPr>
        <w:tabs>
          <w:tab w:val="num" w:pos="5496"/>
        </w:tabs>
        <w:ind w:left="5496" w:hanging="360"/>
      </w:pPr>
      <w:rPr>
        <w:rFonts w:hint="default"/>
      </w:rPr>
    </w:lvl>
    <w:lvl w:ilvl="7">
      <w:start w:val="1"/>
      <w:numFmt w:val="lowerLetter"/>
      <w:lvlText w:val="%8."/>
      <w:lvlJc w:val="left"/>
      <w:pPr>
        <w:tabs>
          <w:tab w:val="num" w:pos="6216"/>
        </w:tabs>
        <w:ind w:left="6216" w:hanging="360"/>
      </w:pPr>
      <w:rPr>
        <w:rFonts w:hint="default"/>
      </w:rPr>
    </w:lvl>
    <w:lvl w:ilvl="8">
      <w:start w:val="1"/>
      <w:numFmt w:val="lowerRoman"/>
      <w:lvlText w:val="%9."/>
      <w:lvlJc w:val="right"/>
      <w:pPr>
        <w:tabs>
          <w:tab w:val="num" w:pos="6936"/>
        </w:tabs>
        <w:ind w:left="6936" w:hanging="180"/>
      </w:pPr>
      <w:rPr>
        <w:rFonts w:hint="default"/>
      </w:rPr>
    </w:lvl>
  </w:abstractNum>
  <w:num w:numId="1">
    <w:abstractNumId w:val="1"/>
  </w:num>
  <w:num w:numId="2">
    <w:abstractNumId w:val="1"/>
  </w:num>
  <w:num w:numId="3">
    <w:abstractNumId w:val="2"/>
  </w:num>
  <w:num w:numId="4">
    <w:abstractNumId w:val="2"/>
  </w:num>
  <w:num w:numId="5">
    <w:abstractNumId w:val="5"/>
  </w:num>
  <w:num w:numId="6">
    <w:abstractNumId w:val="5"/>
  </w:num>
  <w:num w:numId="7">
    <w:abstractNumId w:val="3"/>
  </w:num>
  <w:num w:numId="8">
    <w:abstractNumId w:val="6"/>
  </w:num>
  <w:num w:numId="9">
    <w:abstractNumId w:val="6"/>
  </w:num>
  <w:num w:numId="10">
    <w:abstractNumId w:val="4"/>
  </w:num>
  <w:num w:numId="1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27"/>
  <w:autoHyphenation/>
  <w:hyphenationZone w:val="400"/>
  <w:doNotHyphenateCaps/>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FCE"/>
    <w:rsid w:val="000123A6"/>
    <w:rsid w:val="00013A71"/>
    <w:rsid w:val="0004613A"/>
    <w:rsid w:val="0007201F"/>
    <w:rsid w:val="000844CE"/>
    <w:rsid w:val="00195786"/>
    <w:rsid w:val="001A02F0"/>
    <w:rsid w:val="00205DE6"/>
    <w:rsid w:val="002D48C5"/>
    <w:rsid w:val="003A05D5"/>
    <w:rsid w:val="00423076"/>
    <w:rsid w:val="00424BE7"/>
    <w:rsid w:val="004761E1"/>
    <w:rsid w:val="004944C5"/>
    <w:rsid w:val="00585DFF"/>
    <w:rsid w:val="005D10DD"/>
    <w:rsid w:val="00694399"/>
    <w:rsid w:val="006B0071"/>
    <w:rsid w:val="006D01E4"/>
    <w:rsid w:val="007A2672"/>
    <w:rsid w:val="007A5DAD"/>
    <w:rsid w:val="007D523A"/>
    <w:rsid w:val="00831C4F"/>
    <w:rsid w:val="00835EBA"/>
    <w:rsid w:val="008F2D4C"/>
    <w:rsid w:val="00915C02"/>
    <w:rsid w:val="00926537"/>
    <w:rsid w:val="009679C0"/>
    <w:rsid w:val="0098105E"/>
    <w:rsid w:val="00982594"/>
    <w:rsid w:val="009930E4"/>
    <w:rsid w:val="009B2539"/>
    <w:rsid w:val="009C2C42"/>
    <w:rsid w:val="009C51AB"/>
    <w:rsid w:val="009F7FCE"/>
    <w:rsid w:val="00AC60E2"/>
    <w:rsid w:val="00AE3F19"/>
    <w:rsid w:val="00B007D2"/>
    <w:rsid w:val="00B15D99"/>
    <w:rsid w:val="00B21C25"/>
    <w:rsid w:val="00B23481"/>
    <w:rsid w:val="00B234F3"/>
    <w:rsid w:val="00C1415C"/>
    <w:rsid w:val="00C2001B"/>
    <w:rsid w:val="00C2607B"/>
    <w:rsid w:val="00CA5241"/>
    <w:rsid w:val="00CC1D0C"/>
    <w:rsid w:val="00D1629C"/>
    <w:rsid w:val="00D50725"/>
    <w:rsid w:val="00DC2CA9"/>
    <w:rsid w:val="00E603C7"/>
    <w:rsid w:val="00E74DBD"/>
    <w:rsid w:val="00E8144F"/>
    <w:rsid w:val="00E815D2"/>
    <w:rsid w:val="00EF046A"/>
    <w:rsid w:val="00F2205A"/>
    <w:rsid w:val="00F321B4"/>
    <w:rsid w:val="00F95E5E"/>
    <w:rsid w:val="00FC6D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F21448"/>
  <w15:docId w15:val="{497F6A5D-1F76-4666-85DF-439EF54E3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semiHidden="1"/>
    <w:lsdException w:name="heading 2" w:semiHidden="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lsdException w:name="Book Title" w:semiHidden="1"/>
    <w:lsdException w:name="Bibliography" w:semiHidden="1"/>
    <w:lsdException w:name="TOC Heading" w:semiHidden="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E7667"/>
    <w:pPr>
      <w:overflowPunct w:val="0"/>
      <w:autoSpaceDE w:val="0"/>
      <w:autoSpaceDN w:val="0"/>
      <w:adjustRightInd w:val="0"/>
      <w:ind w:firstLine="227"/>
      <w:jc w:val="both"/>
      <w:textAlignment w:val="baseline"/>
    </w:pPr>
  </w:style>
  <w:style w:type="paragraph" w:styleId="Heading10">
    <w:name w:val="heading 1"/>
    <w:basedOn w:val="Normal"/>
    <w:next w:val="p1a"/>
    <w:semiHidden/>
    <w:unhideWhenUsed/>
    <w:qFormat/>
    <w:pPr>
      <w:keepNext/>
      <w:keepLines/>
      <w:suppressAutoHyphens/>
      <w:spacing w:before="360" w:after="240" w:line="300" w:lineRule="atLeast"/>
      <w:ind w:left="567" w:hanging="567"/>
      <w:jc w:val="left"/>
      <w:outlineLvl w:val="0"/>
    </w:pPr>
    <w:rPr>
      <w:b/>
      <w:sz w:val="24"/>
    </w:rPr>
  </w:style>
  <w:style w:type="paragraph" w:styleId="Heading20">
    <w:name w:val="heading 2"/>
    <w:basedOn w:val="Normal"/>
    <w:next w:val="p1a"/>
    <w:semiHidden/>
    <w:unhideWhenUsed/>
    <w:qFormat/>
    <w:pPr>
      <w:keepNext/>
      <w:keepLines/>
      <w:suppressAutoHyphens/>
      <w:spacing w:before="360" w:after="160"/>
      <w:ind w:left="567" w:hanging="567"/>
      <w:jc w:val="left"/>
      <w:outlineLvl w:val="1"/>
    </w:pPr>
    <w:rPr>
      <w:b/>
    </w:rPr>
  </w:style>
  <w:style w:type="paragraph" w:styleId="Heading3">
    <w:name w:val="heading 3"/>
    <w:basedOn w:val="Normal"/>
    <w:next w:val="Normal"/>
    <w:qFormat/>
    <w:pPr>
      <w:spacing w:before="360"/>
      <w:ind w:firstLine="0"/>
      <w:outlineLvl w:val="2"/>
    </w:pPr>
  </w:style>
  <w:style w:type="paragraph" w:styleId="Heading4">
    <w:name w:val="heading 4"/>
    <w:basedOn w:val="Normal"/>
    <w:next w:val="Normal"/>
    <w:qFormat/>
    <w:pPr>
      <w:spacing w:before="240"/>
      <w:ind w:firstLine="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pPr>
      <w:spacing w:before="600" w:after="360" w:line="220" w:lineRule="atLeast"/>
      <w:ind w:left="567" w:right="567"/>
      <w:contextualSpacing/>
    </w:pPr>
    <w:rPr>
      <w:sz w:val="18"/>
    </w:rPr>
  </w:style>
  <w:style w:type="paragraph" w:customStyle="1" w:styleId="address">
    <w:name w:val="address"/>
    <w:basedOn w:val="Normal"/>
    <w:pPr>
      <w:spacing w:after="200" w:line="220" w:lineRule="atLeast"/>
      <w:ind w:firstLine="0"/>
      <w:contextualSpacing/>
      <w:jc w:val="center"/>
    </w:pPr>
    <w:rPr>
      <w:sz w:val="18"/>
    </w:rPr>
  </w:style>
  <w:style w:type="numbering" w:customStyle="1" w:styleId="arabnumitem">
    <w:name w:val="arabnumitem"/>
    <w:basedOn w:val="NoList"/>
    <w:pPr>
      <w:numPr>
        <w:numId w:val="5"/>
      </w:numPr>
    </w:pPr>
  </w:style>
  <w:style w:type="paragraph" w:customStyle="1" w:styleId="author">
    <w:name w:val="author"/>
    <w:basedOn w:val="Normal"/>
    <w:next w:val="address"/>
    <w:pPr>
      <w:spacing w:after="200" w:line="220" w:lineRule="atLeast"/>
      <w:ind w:firstLine="0"/>
      <w:jc w:val="center"/>
    </w:pPr>
  </w:style>
  <w:style w:type="paragraph" w:customStyle="1" w:styleId="bulletitem">
    <w:name w:val="bulletitem"/>
    <w:basedOn w:val="Normal"/>
    <w:pPr>
      <w:numPr>
        <w:numId w:val="2"/>
      </w:numPr>
      <w:spacing w:before="160" w:after="160"/>
      <w:contextualSpacing/>
    </w:pPr>
  </w:style>
  <w:style w:type="paragraph" w:customStyle="1" w:styleId="dashitem">
    <w:name w:val="dashitem"/>
    <w:basedOn w:val="Normal"/>
    <w:pPr>
      <w:numPr>
        <w:numId w:val="4"/>
      </w:numPr>
      <w:spacing w:before="160" w:after="160"/>
      <w:contextualSpacing/>
    </w:pPr>
  </w:style>
  <w:style w:type="character" w:customStyle="1" w:styleId="e-mail">
    <w:name w:val="e-mail"/>
    <w:basedOn w:val="DefaultParagraphFont"/>
    <w:rPr>
      <w:rFonts w:ascii="Courier" w:hAnsi="Courier"/>
      <w:noProof/>
    </w:rPr>
  </w:style>
  <w:style w:type="paragraph" w:customStyle="1" w:styleId="equation">
    <w:name w:val="equation"/>
    <w:basedOn w:val="Normal"/>
    <w:next w:val="Normal"/>
    <w:pPr>
      <w:tabs>
        <w:tab w:val="center" w:pos="3289"/>
        <w:tab w:val="right" w:pos="6917"/>
      </w:tabs>
      <w:spacing w:before="160" w:after="160"/>
      <w:ind w:firstLine="0"/>
    </w:pPr>
  </w:style>
  <w:style w:type="paragraph" w:customStyle="1" w:styleId="figurecaption">
    <w:name w:val="figurecaption"/>
    <w:basedOn w:val="Normal"/>
    <w:next w:val="Normal"/>
    <w:pPr>
      <w:keepLines/>
      <w:spacing w:before="120" w:after="240" w:line="220" w:lineRule="atLeast"/>
      <w:ind w:firstLine="0"/>
      <w:jc w:val="center"/>
    </w:pPr>
    <w:rPr>
      <w:sz w:val="18"/>
    </w:rPr>
  </w:style>
  <w:style w:type="character" w:styleId="FootnoteReference">
    <w:name w:val="footnote reference"/>
    <w:basedOn w:val="DefaultParagraphFont"/>
    <w:semiHidden/>
    <w:unhideWhenUsed/>
    <w:rPr>
      <w:position w:val="0"/>
      <w:vertAlign w:val="superscript"/>
    </w:rPr>
  </w:style>
  <w:style w:type="paragraph" w:styleId="Footer">
    <w:name w:val="footer"/>
    <w:basedOn w:val="Normal"/>
    <w:semiHidden/>
    <w:unhideWhenUsed/>
  </w:style>
  <w:style w:type="paragraph" w:customStyle="1" w:styleId="heading1">
    <w:name w:val="heading1"/>
    <w:basedOn w:val="Normal"/>
    <w:next w:val="p1a"/>
    <w:qFormat/>
    <w:pPr>
      <w:keepNext/>
      <w:keepLines/>
      <w:numPr>
        <w:numId w:val="7"/>
      </w:numPr>
      <w:suppressAutoHyphens/>
      <w:spacing w:before="360" w:after="240" w:line="300" w:lineRule="atLeast"/>
      <w:jc w:val="left"/>
      <w:outlineLvl w:val="0"/>
    </w:pPr>
    <w:rPr>
      <w:b/>
      <w:sz w:val="24"/>
    </w:rPr>
  </w:style>
  <w:style w:type="paragraph" w:customStyle="1" w:styleId="heading2">
    <w:name w:val="heading2"/>
    <w:basedOn w:val="Normal"/>
    <w:next w:val="p1a"/>
    <w:qFormat/>
    <w:pPr>
      <w:keepNext/>
      <w:keepLines/>
      <w:numPr>
        <w:ilvl w:val="1"/>
        <w:numId w:val="7"/>
      </w:numPr>
      <w:suppressAutoHyphens/>
      <w:spacing w:before="360" w:after="160"/>
      <w:jc w:val="left"/>
      <w:outlineLvl w:val="1"/>
    </w:pPr>
    <w:rPr>
      <w:b/>
    </w:rPr>
  </w:style>
  <w:style w:type="character" w:customStyle="1" w:styleId="heading30">
    <w:name w:val="heading3"/>
    <w:basedOn w:val="DefaultParagraphFont"/>
    <w:rPr>
      <w:b/>
    </w:rPr>
  </w:style>
  <w:style w:type="character" w:customStyle="1" w:styleId="heading40">
    <w:name w:val="heading4"/>
    <w:basedOn w:val="DefaultParagraphFont"/>
    <w:rPr>
      <w:i/>
    </w:rPr>
  </w:style>
  <w:style w:type="numbering" w:customStyle="1" w:styleId="headings">
    <w:name w:val="headings"/>
    <w:basedOn w:val="arabnumitem"/>
    <w:pPr>
      <w:numPr>
        <w:numId w:val="7"/>
      </w:numPr>
    </w:pPr>
  </w:style>
  <w:style w:type="character" w:styleId="Hyperlink">
    <w:name w:val="Hyperlink"/>
    <w:basedOn w:val="DefaultParagraphFont"/>
    <w:semiHidden/>
    <w:unhideWhenUsed/>
    <w:rPr>
      <w:color w:val="auto"/>
      <w:u w:val="none"/>
    </w:rPr>
  </w:style>
  <w:style w:type="paragraph" w:customStyle="1" w:styleId="image">
    <w:name w:val="image"/>
    <w:basedOn w:val="Normal"/>
    <w:next w:val="Normal"/>
    <w:pPr>
      <w:spacing w:before="240" w:after="120"/>
      <w:ind w:firstLine="0"/>
      <w:jc w:val="center"/>
    </w:pPr>
  </w:style>
  <w:style w:type="numbering" w:customStyle="1" w:styleId="itemization1">
    <w:name w:val="itemization1"/>
    <w:basedOn w:val="NoList"/>
    <w:pPr>
      <w:numPr>
        <w:numId w:val="1"/>
      </w:numPr>
    </w:pPr>
  </w:style>
  <w:style w:type="numbering" w:customStyle="1" w:styleId="itemization2">
    <w:name w:val="itemization2"/>
    <w:basedOn w:val="NoList"/>
    <w:pPr>
      <w:numPr>
        <w:numId w:val="3"/>
      </w:numPr>
    </w:pPr>
  </w:style>
  <w:style w:type="paragraph" w:customStyle="1" w:styleId="keywords">
    <w:name w:val="keywords"/>
    <w:basedOn w:val="abstract"/>
    <w:next w:val="heading1"/>
    <w:pPr>
      <w:spacing w:before="220"/>
      <w:ind w:firstLine="0"/>
      <w:contextualSpacing w:val="0"/>
      <w:jc w:val="left"/>
    </w:pPr>
  </w:style>
  <w:style w:type="paragraph" w:styleId="Header">
    <w:name w:val="header"/>
    <w:basedOn w:val="Normal"/>
    <w:semiHidden/>
    <w:unhideWhenUsed/>
    <w:pPr>
      <w:tabs>
        <w:tab w:val="center" w:pos="4536"/>
        <w:tab w:val="right" w:pos="9072"/>
      </w:tabs>
      <w:ind w:firstLine="0"/>
    </w:pPr>
    <w:rPr>
      <w:sz w:val="18"/>
      <w:szCs w:val="18"/>
    </w:rPr>
  </w:style>
  <w:style w:type="paragraph" w:customStyle="1" w:styleId="numitem">
    <w:name w:val="numitem"/>
    <w:basedOn w:val="Normal"/>
    <w:pPr>
      <w:numPr>
        <w:numId w:val="6"/>
      </w:numPr>
      <w:spacing w:before="160" w:after="160"/>
      <w:contextualSpacing/>
    </w:pPr>
  </w:style>
  <w:style w:type="paragraph" w:customStyle="1" w:styleId="p1a">
    <w:name w:val="p1a"/>
    <w:basedOn w:val="Normal"/>
    <w:next w:val="Normal"/>
    <w:pPr>
      <w:ind w:firstLine="0"/>
    </w:pPr>
  </w:style>
  <w:style w:type="paragraph" w:customStyle="1" w:styleId="programcode">
    <w:name w:val="programcode"/>
    <w:basedOn w:val="Normal"/>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60" w:after="160"/>
      <w:ind w:firstLine="0"/>
      <w:contextualSpacing/>
      <w:jc w:val="left"/>
    </w:pPr>
    <w:rPr>
      <w:rFonts w:ascii="Courier" w:hAnsi="Courier"/>
    </w:rPr>
  </w:style>
  <w:style w:type="paragraph" w:customStyle="1" w:styleId="referenceitem">
    <w:name w:val="referenceitem"/>
    <w:basedOn w:val="Normal"/>
    <w:rsid w:val="00FC6D72"/>
    <w:pPr>
      <w:numPr>
        <w:numId w:val="9"/>
      </w:numPr>
      <w:spacing w:line="220" w:lineRule="atLeast"/>
    </w:pPr>
    <w:rPr>
      <w:sz w:val="18"/>
    </w:rPr>
  </w:style>
  <w:style w:type="numbering" w:customStyle="1" w:styleId="referencelist">
    <w:name w:val="referencelist"/>
    <w:basedOn w:val="NoList"/>
    <w:semiHidden/>
    <w:pPr>
      <w:numPr>
        <w:numId w:val="8"/>
      </w:numPr>
    </w:pPr>
  </w:style>
  <w:style w:type="paragraph" w:customStyle="1" w:styleId="runninghead-left">
    <w:name w:val="running head - left"/>
    <w:basedOn w:val="Normal"/>
    <w:pPr>
      <w:ind w:firstLine="0"/>
      <w:jc w:val="left"/>
    </w:pPr>
    <w:rPr>
      <w:sz w:val="18"/>
      <w:szCs w:val="18"/>
    </w:rPr>
  </w:style>
  <w:style w:type="paragraph" w:customStyle="1" w:styleId="runninghead-right">
    <w:name w:val="running head - right"/>
    <w:basedOn w:val="Normal"/>
    <w:pPr>
      <w:ind w:firstLine="0"/>
      <w:jc w:val="right"/>
    </w:pPr>
    <w:rPr>
      <w:bCs/>
      <w:sz w:val="18"/>
      <w:szCs w:val="18"/>
    </w:rPr>
  </w:style>
  <w:style w:type="character" w:styleId="PageNumber">
    <w:name w:val="page number"/>
    <w:basedOn w:val="DefaultParagraphFont"/>
    <w:semiHidden/>
    <w:unhideWhenUsed/>
    <w:rPr>
      <w:sz w:val="18"/>
    </w:rPr>
  </w:style>
  <w:style w:type="paragraph" w:customStyle="1" w:styleId="papertitle">
    <w:name w:val="papertitle"/>
    <w:basedOn w:val="Normal"/>
    <w:next w:val="author"/>
    <w:pPr>
      <w:keepNext/>
      <w:keepLines/>
      <w:suppressAutoHyphens/>
      <w:spacing w:after="480" w:line="360" w:lineRule="atLeast"/>
      <w:ind w:firstLine="0"/>
      <w:jc w:val="center"/>
    </w:pPr>
    <w:rPr>
      <w:b/>
      <w:sz w:val="28"/>
    </w:rPr>
  </w:style>
  <w:style w:type="paragraph" w:customStyle="1" w:styleId="papersubtitle">
    <w:name w:val="papersubtitle"/>
    <w:basedOn w:val="papertitle"/>
    <w:next w:val="author"/>
    <w:pPr>
      <w:spacing w:before="120" w:line="280" w:lineRule="atLeast"/>
    </w:pPr>
    <w:rPr>
      <w:sz w:val="24"/>
    </w:rPr>
  </w:style>
  <w:style w:type="paragraph" w:customStyle="1" w:styleId="tablecaption">
    <w:name w:val="tablecaption"/>
    <w:basedOn w:val="Normal"/>
    <w:next w:val="Normal"/>
    <w:pPr>
      <w:keepNext/>
      <w:keepLines/>
      <w:spacing w:before="240" w:after="120" w:line="220" w:lineRule="atLeast"/>
      <w:ind w:firstLine="0"/>
      <w:jc w:val="center"/>
    </w:pPr>
    <w:rPr>
      <w:sz w:val="18"/>
    </w:rPr>
  </w:style>
  <w:style w:type="character" w:customStyle="1" w:styleId="url">
    <w:name w:val="url"/>
    <w:basedOn w:val="DefaultParagraphFont"/>
    <w:rPr>
      <w:rFonts w:ascii="Courier" w:hAnsi="Courier"/>
      <w:noProof/>
    </w:rPr>
  </w:style>
  <w:style w:type="character" w:customStyle="1" w:styleId="ORCID">
    <w:name w:val="ORCID"/>
    <w:basedOn w:val="DefaultParagraphFont"/>
    <w:rPr>
      <w:position w:val="0"/>
      <w:vertAlign w:val="superscript"/>
    </w:rPr>
  </w:style>
  <w:style w:type="paragraph" w:styleId="FootnoteText">
    <w:name w:val="footnote text"/>
    <w:basedOn w:val="Normal"/>
    <w:semiHidden/>
    <w:pPr>
      <w:spacing w:line="220" w:lineRule="atLeast"/>
      <w:ind w:left="227" w:hanging="227"/>
    </w:pPr>
    <w:rPr>
      <w:sz w:val="18"/>
    </w:rPr>
  </w:style>
  <w:style w:type="paragraph" w:customStyle="1" w:styleId="ReferenceLine">
    <w:name w:val="ReferenceLine"/>
    <w:basedOn w:val="p1a"/>
    <w:semiHidden/>
    <w:unhideWhenUsed/>
    <w:pPr>
      <w:spacing w:line="200" w:lineRule="exact"/>
    </w:pPr>
    <w:rPr>
      <w:sz w:val="16"/>
    </w:rPr>
  </w:style>
  <w:style w:type="table" w:styleId="TableGrid">
    <w:name w:val="Table Grid"/>
    <w:basedOn w:val="TableNormal"/>
    <w:uiPriority w:val="39"/>
    <w:rsid w:val="00E8144F"/>
    <w:pPr>
      <w:spacing w:line="240" w:lineRule="auto"/>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6D72"/>
    <w:pPr>
      <w:overflowPunct/>
      <w:autoSpaceDE/>
      <w:autoSpaceDN/>
      <w:adjustRightInd/>
      <w:spacing w:line="360" w:lineRule="auto"/>
      <w:ind w:left="720" w:firstLine="0"/>
      <w:contextualSpacing/>
      <w:textAlignment w:val="auto"/>
    </w:pPr>
    <w:rPr>
      <w:rFonts w:eastAsiaTheme="minorHAnsi" w:cstheme="minorBidi"/>
      <w:sz w:val="24"/>
      <w:szCs w:val="22"/>
    </w:rPr>
  </w:style>
  <w:style w:type="character" w:styleId="Emphasis">
    <w:name w:val="Emphasis"/>
    <w:basedOn w:val="DefaultParagraphFont"/>
    <w:uiPriority w:val="20"/>
    <w:qFormat/>
    <w:rsid w:val="00FC6D72"/>
    <w:rPr>
      <w:i/>
      <w:iCs/>
    </w:rPr>
  </w:style>
  <w:style w:type="character" w:styleId="CommentReference">
    <w:name w:val="annotation reference"/>
    <w:basedOn w:val="DefaultParagraphFont"/>
    <w:semiHidden/>
    <w:unhideWhenUsed/>
    <w:rsid w:val="00AC60E2"/>
    <w:rPr>
      <w:sz w:val="16"/>
      <w:szCs w:val="16"/>
    </w:rPr>
  </w:style>
  <w:style w:type="paragraph" w:styleId="CommentText">
    <w:name w:val="annotation text"/>
    <w:basedOn w:val="Normal"/>
    <w:link w:val="CommentTextChar"/>
    <w:semiHidden/>
    <w:unhideWhenUsed/>
    <w:rsid w:val="00AC60E2"/>
    <w:pPr>
      <w:spacing w:line="240" w:lineRule="auto"/>
    </w:pPr>
  </w:style>
  <w:style w:type="character" w:customStyle="1" w:styleId="CommentTextChar">
    <w:name w:val="Comment Text Char"/>
    <w:basedOn w:val="DefaultParagraphFont"/>
    <w:link w:val="CommentText"/>
    <w:semiHidden/>
    <w:rsid w:val="00AC60E2"/>
  </w:style>
  <w:style w:type="paragraph" w:styleId="CommentSubject">
    <w:name w:val="annotation subject"/>
    <w:basedOn w:val="CommentText"/>
    <w:next w:val="CommentText"/>
    <w:link w:val="CommentSubjectChar"/>
    <w:semiHidden/>
    <w:unhideWhenUsed/>
    <w:rsid w:val="00AC60E2"/>
    <w:rPr>
      <w:b/>
      <w:bCs/>
    </w:rPr>
  </w:style>
  <w:style w:type="character" w:customStyle="1" w:styleId="CommentSubjectChar">
    <w:name w:val="Comment Subject Char"/>
    <w:basedOn w:val="CommentTextChar"/>
    <w:link w:val="CommentSubject"/>
    <w:semiHidden/>
    <w:rsid w:val="00AC60E2"/>
    <w:rPr>
      <w:b/>
      <w:bCs/>
    </w:rPr>
  </w:style>
  <w:style w:type="paragraph" w:styleId="BalloonText">
    <w:name w:val="Balloon Text"/>
    <w:basedOn w:val="Normal"/>
    <w:link w:val="BalloonTextChar"/>
    <w:semiHidden/>
    <w:rsid w:val="00AC60E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AC60E2"/>
    <w:rPr>
      <w:rFonts w:ascii="Segoe UI" w:hAnsi="Segoe UI" w:cs="Segoe UI"/>
      <w:sz w:val="18"/>
      <w:szCs w:val="18"/>
    </w:rPr>
  </w:style>
  <w:style w:type="paragraph" w:customStyle="1" w:styleId="Default">
    <w:name w:val="Default"/>
    <w:rsid w:val="0007201F"/>
    <w:pPr>
      <w:autoSpaceDE w:val="0"/>
      <w:autoSpaceDN w:val="0"/>
      <w:adjustRightInd w:val="0"/>
      <w:spacing w:line="240" w:lineRule="auto"/>
    </w:pPr>
    <w:rPr>
      <w:rFonts w:ascii="Charis SIL" w:hAnsi="Charis SIL" w:cs="Charis SIL"/>
      <w:color w:val="000000"/>
      <w:sz w:val="24"/>
      <w:szCs w:val="24"/>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02229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14.xml.rels><?xml version="1.0" encoding="UTF-8" standalone="yes"?>
<Relationships xmlns="http://schemas.openxmlformats.org/package/2006/relationships"><Relationship Id="removespace" Type="http://schemas.openxmlformats.org/officeDocument/2006/relationships/image" Target="images/removespace.ICO"/><Relationship Id="ORCID" Type="http://schemas.openxmlformats.org/officeDocument/2006/relationships/image" Target="images/ORCID.ICO"/><Relationship Id="papertitle" Type="http://schemas.openxmlformats.org/officeDocument/2006/relationships/image" Target="images/papertitle.ICO"/><Relationship Id="FigCaption" Type="http://schemas.openxmlformats.org/officeDocument/2006/relationships/image" Target="images/FigCaption16.ICO"/><Relationship Id="addspace" Type="http://schemas.openxmlformats.org/officeDocument/2006/relationships/image" Target="images/addspace.ICO"/><Relationship Id="arrowleft" Type="http://schemas.openxmlformats.org/officeDocument/2006/relationships/image" Target="images/arrowleft.ICO"/><Relationship Id="bulletitem" Type="http://schemas.openxmlformats.org/officeDocument/2006/relationships/image" Target="images/bulletitem.ICO"/><Relationship Id="togglenumbering" Type="http://schemas.openxmlformats.org/officeDocument/2006/relationships/image" Target="images/togglenumbering.ICO"/><Relationship Id="eqnumber" Type="http://schemas.openxmlformats.org/officeDocument/2006/relationships/image" Target="images/eqnumber.ICO"/><Relationship Id="normalspace" Type="http://schemas.openxmlformats.org/officeDocument/2006/relationships/image" Target="images/normalspace.ICO"/><Relationship Id="abstract" Type="http://schemas.openxmlformats.org/officeDocument/2006/relationships/image" Target="images/abstract.ICO"/><Relationship Id="arrowright" Type="http://schemas.openxmlformats.org/officeDocument/2006/relationships/image" Target="images/arrowright.ICO"/><Relationship Id="equation" Type="http://schemas.openxmlformats.org/officeDocument/2006/relationships/image" Target="images/equation.ICO"/><Relationship Id="RedoStyles" Type="http://schemas.openxmlformats.org/officeDocument/2006/relationships/image" Target="images/RedoStyles.ICO"/><Relationship Id="TabCaption" Type="http://schemas.openxmlformats.org/officeDocument/2006/relationships/image" Target="images/TabCaption16.ICO"/><Relationship Id="normal" Type="http://schemas.openxmlformats.org/officeDocument/2006/relationships/image" Target="images/normal32.ICO"/><Relationship Id="squeeze" Type="http://schemas.openxmlformats.org/officeDocument/2006/relationships/image" Target="images/squeeze.ICO"/><Relationship Id="expand" Type="http://schemas.openxmlformats.org/officeDocument/2006/relationships/image" Target="images/expand.ICO"/><Relationship Id="InsertImage" Type="http://schemas.openxmlformats.org/officeDocument/2006/relationships/image" Target="images/InsertImage16.ICO"/><Relationship Id="dashitem" Type="http://schemas.openxmlformats.org/officeDocument/2006/relationships/image" Target="images/dashitem.ICO"/><Relationship Id="numitem" Type="http://schemas.openxmlformats.org/officeDocument/2006/relationships/image" Target="images/numitem.ICO"/><Relationship Id="papersubtitle" Type="http://schemas.openxmlformats.org/officeDocument/2006/relationships/image" Target="images/subtitle.ICO"/><Relationship Id="HeaderFooter" Type="http://schemas.openxmlformats.org/officeDocument/2006/relationships/image" Target="images/HeaderFooter.ICO"/></Relationships>
</file>

<file path=customUI/customUI14.xml><?xml version="1.0" encoding="utf-8"?>
<customUI xmlns="http://schemas.microsoft.com/office/2009/07/customui" onLoad="LoadSpProcRibbon">
  <ribbon startFromScratch="false">
    <tabs>
      <tab id="tabSpProc" insertBeforeMso="TabHome" label="Springer Proceedings Macros">
        <group id="grTitlePage" label="Title Page" autoScale="true">
          <button id="btnTitle" label="Title" image="papertitle" size="large" onAction="MakeTitle" screentip="Format selected text as paper title"/>
          <button id="btnSubtitle" label="Subtitle" image="papersubtitle" size="large" onAction="MakeSubtitle" screentip="Format selected text as paper subtitle (optional)"/>
          <button id="btnAuthor" label="Author" imageMso="DistributionListSelectMembers" size="large" onAction="MakeAuthor" screentip="Format selected text as paper author(s)"/>
          <box id="box1" boxStyle="vertical">
            <button id="btnORCID" label="ORCID" image="ORCID" onAction="MakeORCID" screentip="Format selected text as ORCID id" supertip="Please note that ORCID ids will not be printed. In the online version they will be replaced by icons that are linked to the related ORCID pages."/>
            <button id="btnAddress" label="Address" imageMso="MailMergeAddressBlockInsert" onAction="MakeAddress" screentip="Format selected text as affiliation (including e-mail address, URL)"/>
            <button id="btnEmail" label="E-mail" imageMso="EnvelopesAndLabelsDialog" onAction="MakeEMail" screentip="Format selected text as e-mail address or URL (apply typewriter style)"/>
          </box>
          <button id="btnAbstract" label="Abstract" image="abstract" size="large" onAction="MakeAbstract" screentip="Format selected text as abstract" supertip="If not present, the word 'Abstract' is added at the beginning of the first paragraph."/>
          <button id="btnKeywords" label="Keywords" imageMso="ReviewTrackChanges" size="large" onAction="MakeKeywords" screentip="Format selected text as keywords" supertip="If not present, the word 'Keywords' is added at the beginning of the first paragraph."/>
        </group>
        <group id="grBasicFormats" image="lncs2" label="Basic Formats" autoScale="true">
          <button id="btnH1" label="H1" imageMso="PivotTableLayoutShowInOutlineForm" size="large" onAction="H1" screentip="Format selected text as heading (level 1)"/>
          <button id="btnH2" label="H2" imageMso="PivotTableLayoutShowInCompactForm" size="large" onAction="H2" screentip="Format selected text as heading (level 2)"/>
          <button id="btnH3" label="H3" imageMso="PivotTableLayoutBlankRows" size="large" onAction="H3" screentip="Format selected text as an unnumbered heading (level 3)"/>
          <button id="btnH4" label="H4" imageMso="PivotTableLayoutSubtotals" size="large" onAction="H4" screentip="Format selected text as an unnumbered heading (level 4)"/>
          <box id="box2" boxStyle="vertical">
            <button id="btnBullet" label="Bullet Item" image="bulletitem" onAction="MakeBulletItem" screentip="Format selected text as bullet item(s)" supertip="Please note that bullets are the default for unnumbered lists in Springer proceedings."/>
            <button id="btnDash" label="Dash Item" image="dashitem" onAction="MakeDashItem" screentip="Format selected text as dash item(s)" supertip="Please note that bullets are the default for unnumbered lists in Springer proceedings."/>
            <button id="btnNumbered" label="Num Item" image="numitem" onAction="MakeNumItem" screentip="Format selected text as numbered item(s)"/>
          </box>
          <box id="box3" boxStyle="vertical">
            <button id="btnListLevelUp" label="List Level +" image="arrowright" onAction="ListLevelUp" screentip="Move the selected text one level up in the list hierarchy" supertip="This buttton can be used to create and edit nested lists (numbered and unnumbered)."/>
            <button id="btnListLevelDown" label="List Level -" image="arrowleft" onAction="ListLevelDown" screentip="Move the selected text one level down in the list hierarchy" supertip="This buttton can be used to create and edit nested lists (numbered and unnumbered)."/>
            <button id="btnToggleNum" label=" 1../..n.." image="togglenumbering" onAction="RestartNumbering" screentip="Toggle between restarting and continuing a numbered list" supertip="Applies to numbered lists only."/>
          </box>
          <button id="btnStandard" label="Normal Text" image="normal" size="large" onAction="MakeStandard" screentip="Format the selection as normal text" supertip="This button can change both paragraph format and character style. If applied to a nonstandard paragraph, the standard paragraph format is applied. If applied to a standard paragraph, the standard character style is applied. If you want to both apply the standard paragraph format and remove a nonstandard character style, simply click on the button twice."/>
          <box id="box4" boxStyle="vertical">
            <button id="btnAddSpace" label="Add Space" image="addspace" onAction="AddVerticalSpace" screentip="Add 6 pt (2.1 mm) of vertical space before the selected paragraph."/>
            <button id="btnClearSpace" label="Clear Space" image="removespace" onAction="ClearVerticalSpace" screentip="Clear any vertical space before and after the selected text"/>
            <button id="btnFootnote" label="Footnote" imageMso="FootnoteInsert" onAction="InsertFN" screentip="Add a footnote"/>
          </box>
          <button id="btnReference" label="Reference Item" imageMso="NameManager" size="large" onAction="MakeRefItem" screentip="Format selected text as reference item"/>
        </group>
        <group id="grSpecialFormats" label="Figures, Tables, Equations" autoScale="true">
          <box id="box5" boxStyle="vertical">
            <button id="btnInsImage" label="Insert Image" image="InsertImage" onAction="InsertImage" screentip="Insert an image from a file."/>
            <button id="btnFigure" label="Figure Caption" image="FigCaption" onAction="MakeFigCaption" screentip="Format the selected text as figure caption" supertip="Please note that the figure is numbered with an automatic counter that is updated whenever you reopen the document. A figure caption should always be positioned below the related figure."/>
          </box>
          <separator id="separator1"/>
          <box id="box6" boxStyle="vertical">
            <button id="btnTable" label="Table Caption" image="TabCaption" onAction="MakeTableCaption" screentip="Format the selected text as table caption" supertip="Please note that the table is numbered with an automatic counter that is updated whenever you reopen the document. A table caption should always be positioned above the related table."/>
            <gallery idMso="TableInsertGallery" label="Insert Table"/>
          </box>
          <separator id="separator2"/>
          <button id="btnEquation" label="Displayed Equation" image="equation" size="large" onAction="MakeEquation" screentip="Format the selected text as a displayed equation"/>
          <button id="btnEqCounter" label="Add Eq. Number" image="eqnumber" size="large" onAction="AddEqCounter" screentip="Add an equation number to a selected equation" supertip="The equation numbering is updated whenever you open the document"/>
          <button id="btnProgcode" label="Prog. Code" imageMso="CreateStoredProcedure" size="large" onAction="MakeProgCode" screentip="Format the selected text as program code (typewriter style)"/>
        </group>
        <group id="grRestoreTemplate" label="Template" autoScale="true">
          <button id="btnRestTemplate" label="Check Styles" imageMso="AccessThemesGallery" size="large" onAction="RestoreSettings" screentip="Restore all styles" supertip="Use this button if the original template styles might have been altered or deleted."/>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9DBAD-F0FB-4576-9E0C-43B97A76C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4479</Words>
  <Characters>27188</Characters>
  <Application>Microsoft Office Word</Application>
  <DocSecurity>0</DocSecurity>
  <Lines>697</Lines>
  <Paragraphs>390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dataspect IT-Services, Neckargemuend, Germany</Company>
  <LinksUpToDate>false</LinksUpToDate>
  <CharactersWithSpaces>31277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Sarat Chandra</dc:creator>
  <dc:description>Formats and macros for Springer Lecture Notes</dc:description>
  <cp:lastModifiedBy>sarat</cp:lastModifiedBy>
  <cp:revision>2</cp:revision>
  <cp:lastPrinted>2024-07-31T15:02:00Z</cp:lastPrinted>
  <dcterms:created xsi:type="dcterms:W3CDTF">2024-08-16T17:10:00Z</dcterms:created>
  <dcterms:modified xsi:type="dcterms:W3CDTF">2024-08-16T17:10:00Z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abddf1b9947360a71d6e9a9820b7a0534b78a6832e5f8bad3ac5511f4fcb4759</vt:lpwstr>
  </property>
</Properties>
</file>